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3" w:name="_GoBack"/>
      <w:bookmarkEnd w:id="3"/>
      <w:r>
        <w:rPr>
          <w:rFonts w:ascii="Arial" w:hAnsi="Arial" w:cs="Arial"/>
          <w:sz w:val="18"/>
          <w:szCs w:val="18"/>
        </w:rPr>
        <w:t>Nota explicativa</w:t>
      </w:r>
      <w:r>
        <w:rPr>
          <w:rStyle w:val="4"/>
          <w:rFonts w:ascii="Arial" w:hAnsi="Arial" w:cs="Arial"/>
          <w:sz w:val="18"/>
          <w:szCs w:val="18"/>
        </w:rPr>
        <w:footnoteReference w:id="0"/>
      </w:r>
      <w:r>
        <w:rPr>
          <w:rFonts w:ascii="Arial" w:hAnsi="Arial" w:cs="Arial"/>
          <w:sz w:val="18"/>
          <w:szCs w:val="18"/>
        </w:rPr>
        <w:t xml:space="preserve">: O presente documento caracteriza a primeira etapa da fase de planejamento e apresenta os devidos estudos para a contratação de solução que atenderá à necessidade abaixo especificada. </w:t>
      </w:r>
    </w:p>
    <w:p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objetivo principal é estudar detalhadamente a necessidade e identificar no mercado a melhor solução para supri-la, em observância às normas vigentes e aos princípios que regem a Administração Pública.</w:t>
      </w:r>
    </w:p>
    <w:p>
      <w:pPr>
        <w:spacing w:after="60"/>
        <w:jc w:val="center"/>
        <w:rPr>
          <w:rFonts w:ascii="Arial" w:hAnsi="Arial" w:cs="Arial"/>
          <w:b/>
          <w:bCs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ESTUDO TÉCNICO PRELIMINAR - ETP</w:t>
      </w:r>
    </w:p>
    <w:p>
      <w:pPr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60"/>
        <w:rPr>
          <w:rFonts w:ascii="Arial" w:hAnsi="Arial" w:cs="Arial"/>
          <w:b/>
          <w:bCs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DEMANDANTE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color w:val="FF0000"/>
          <w:sz w:val="20"/>
          <w:szCs w:val="20"/>
        </w:rPr>
        <w:t>(ÓRGÃO REQUISITANTE</w:t>
      </w:r>
      <w:r>
        <w:rPr>
          <w:rFonts w:ascii="Arial" w:hAnsi="Arial" w:cs="Arial"/>
          <w:sz w:val="20"/>
          <w:szCs w:val="20"/>
        </w:rPr>
        <w:t>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60"/>
        <w:rPr>
          <w:rFonts w:ascii="Arial" w:hAnsi="Arial" w:cs="Arial"/>
          <w:b/>
          <w:bCs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OBJETO</w:t>
      </w:r>
      <w:r>
        <w:rPr>
          <w:rFonts w:ascii="Arial" w:hAnsi="Arial" w:cs="Arial"/>
          <w:sz w:val="20"/>
          <w:szCs w:val="20"/>
        </w:rPr>
        <w:t xml:space="preserve">: Definição do objeto, incluídos sua natureza. </w:t>
      </w:r>
    </w:p>
    <w:p>
      <w:pPr>
        <w:spacing w:after="60"/>
        <w:rPr>
          <w:rFonts w:ascii="Arial" w:hAnsi="Arial" w:cs="Arial"/>
          <w:sz w:val="20"/>
          <w:szCs w:val="20"/>
        </w:rPr>
      </w:pPr>
    </w:p>
    <w:p>
      <w:pPr>
        <w:spacing w:after="6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Notas: </w:t>
      </w:r>
    </w:p>
    <w:p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(i) Ver Lei </w:t>
      </w:r>
      <w:r>
        <w:fldChar w:fldCharType="begin"/>
      </w:r>
      <w:r>
        <w:instrText xml:space="preserve"> HYPERLINK "https://www.planalto.gov.br/ccivil_03/_ato2019-2022/2021/lei/L14133.htm" \l "art18" </w:instrText>
      </w:r>
      <w:r>
        <w:fldChar w:fldCharType="separate"/>
      </w:r>
      <w:r>
        <w:rPr>
          <w:rStyle w:val="5"/>
          <w:rFonts w:ascii="Arial" w:hAnsi="Arial" w:cs="Arial"/>
          <w:sz w:val="16"/>
          <w:szCs w:val="16"/>
        </w:rPr>
        <w:t>14.133/2021, art. 18, § 1º a 3º</w:t>
      </w:r>
      <w:r>
        <w:rPr>
          <w:rStyle w:val="5"/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| Decreto Estadual </w:t>
      </w:r>
      <w:r>
        <w:fldChar w:fldCharType="begin"/>
      </w:r>
      <w:r>
        <w:instrText xml:space="preserve"> HYPERLINK "https://www.legislacao.pr.gov.br/legislacao/pesquisarAto.do?action=exibir&amp;codAto=259084&amp;indice=1&amp;totalRegistros=1&amp;dt=12.6.2022.14.10.41.50/art.15" \l ":~:text=Estudo%20T%C3%A9cnico%20Preliminar-,Art.%2015.,-Estudo%20T%C3%A9cnico%20Preliminar" </w:instrText>
      </w:r>
      <w:r>
        <w:fldChar w:fldCharType="separate"/>
      </w:r>
      <w:r>
        <w:rPr>
          <w:rStyle w:val="5"/>
          <w:rFonts w:ascii="Arial" w:hAnsi="Arial" w:cs="Arial"/>
          <w:sz w:val="16"/>
          <w:szCs w:val="16"/>
        </w:rPr>
        <w:t>10.086/2022, art.15</w:t>
      </w:r>
      <w:r>
        <w:rPr>
          <w:rStyle w:val="5"/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>.</w:t>
      </w:r>
    </w:p>
    <w:p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yellow"/>
        </w:rPr>
        <w:t xml:space="preserve">(ii) O Estudo Técnico Preliminar deverá conter </w:t>
      </w:r>
      <w:r>
        <w:rPr>
          <w:rFonts w:ascii="Arial" w:hAnsi="Arial" w:cs="Arial"/>
          <w:b/>
          <w:bCs/>
          <w:sz w:val="16"/>
          <w:szCs w:val="16"/>
          <w:highlight w:val="yellow"/>
        </w:rPr>
        <w:t>ao menos</w:t>
      </w:r>
      <w:r>
        <w:rPr>
          <w:rFonts w:ascii="Arial" w:hAnsi="Arial" w:cs="Arial"/>
          <w:sz w:val="16"/>
          <w:szCs w:val="16"/>
          <w:highlight w:val="yellow"/>
        </w:rPr>
        <w:t xml:space="preserve"> os elementos previstos nos tópicos </w:t>
      </w:r>
      <w:r>
        <w:rPr>
          <w:rFonts w:ascii="Arial" w:hAnsi="Arial" w:cs="Arial"/>
          <w:b/>
          <w:bCs/>
          <w:sz w:val="16"/>
          <w:szCs w:val="16"/>
          <w:highlight w:val="yellow"/>
        </w:rPr>
        <w:t>1.1, 1.4, 1.6, 1.8 e 1.13</w:t>
      </w:r>
      <w:r>
        <w:rPr>
          <w:rFonts w:ascii="Arial" w:hAnsi="Arial" w:cs="Arial"/>
          <w:sz w:val="16"/>
          <w:szCs w:val="16"/>
          <w:highlight w:val="yellow"/>
        </w:rPr>
        <w:t xml:space="preserve">. Quando não contemplar os demais elementos previstos neste documento, apresentar as devidas </w:t>
      </w:r>
      <w:r>
        <w:rPr>
          <w:rFonts w:ascii="Arial" w:hAnsi="Arial" w:cs="Arial"/>
          <w:b/>
          <w:bCs/>
          <w:sz w:val="16"/>
          <w:szCs w:val="16"/>
          <w:highlight w:val="yellow"/>
        </w:rPr>
        <w:t>justificativas em cada um dos demais tópicos</w:t>
      </w:r>
      <w:r>
        <w:rPr>
          <w:rFonts w:ascii="Arial" w:hAnsi="Arial" w:cs="Arial"/>
          <w:sz w:val="16"/>
          <w:szCs w:val="16"/>
          <w:highlight w:val="yellow"/>
        </w:rPr>
        <w:t>;</w:t>
      </w:r>
    </w:p>
    <w:p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(iii) Quando o objeto da contratação envolver locação ou comodato, também deverá obrigatoriamente conter o elemento previsto no tópico 5.</w:t>
      </w:r>
    </w:p>
    <w:p>
      <w:pPr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yellow"/>
        </w:rPr>
        <w:t xml:space="preserve">(iv) Devem ser mantidos todos os tópicos deste documento, </w:t>
      </w:r>
      <w:r>
        <w:rPr>
          <w:rFonts w:ascii="Arial" w:hAnsi="Arial" w:cs="Arial"/>
          <w:b/>
          <w:sz w:val="16"/>
          <w:szCs w:val="16"/>
          <w:highlight w:val="yellow"/>
        </w:rPr>
        <w:t>não excluir</w:t>
      </w:r>
      <w:r>
        <w:rPr>
          <w:rFonts w:ascii="Arial" w:hAnsi="Arial" w:cs="Arial"/>
          <w:sz w:val="16"/>
          <w:szCs w:val="16"/>
          <w:highlight w:val="yellow"/>
        </w:rPr>
        <w:t>!.</w:t>
      </w:r>
      <w:r>
        <w:rPr>
          <w:rFonts w:ascii="Arial" w:hAnsi="Arial" w:cs="Arial"/>
          <w:sz w:val="16"/>
          <w:szCs w:val="16"/>
        </w:rPr>
        <w:t xml:space="preserve"> Aqueles que não se aplicarem ao objeto devem ser justificados na resposta de cada tópico.</w:t>
      </w:r>
    </w:p>
    <w:p>
      <w:pPr>
        <w:spacing w:after="60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Descrição da necessidade da contratação</w:t>
      </w:r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14:textFill>
            <w14:solidFill>
              <w14:schemeClr w14:val="bg1"/>
            </w14:solidFill>
          </w14:textFill>
        </w:rPr>
        <w:t xml:space="preserve">MOTIVAÇÃO DO ATO | </w:t>
      </w:r>
      <w:r>
        <w:rPr>
          <w:rFonts w:ascii="Arial" w:hAnsi="Arial" w:cs="Arial"/>
          <w:sz w:val="16"/>
          <w:szCs w:val="16"/>
        </w:rPr>
        <w:t>(art. 15, I, Dec. 10.086/22)</w:t>
      </w:r>
    </w:p>
    <w:p>
      <w:pPr>
        <w:spacing w:after="60" w:line="240" w:lineRule="auto"/>
        <w:ind w:firstLine="709"/>
        <w:rPr>
          <w:rFonts w:ascii="Arial" w:hAnsi="Arial" w:cs="Arial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</w:tblPrEx>
        <w:tc>
          <w:tcPr>
            <w:tcW w:w="9628" w:type="dxa"/>
            <w:shd w:val="clear" w:color="auto" w:fill="FFFF00"/>
          </w:tcPr>
          <w:p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 Orientativa:</w:t>
            </w:r>
          </w:p>
          <w:p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 da necessidade da contratação, considerado o problema a ser resolvido sob a perspectiva do interesse público:</w:t>
            </w:r>
          </w:p>
          <w:p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que será comprado?</w:t>
            </w:r>
          </w:p>
          <w:p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 quê? </w:t>
            </w:r>
          </w:p>
          <w:p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que serve? Como vai utilizar? Onde vai utilizar?</w:t>
            </w:r>
          </w:p>
          <w:p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Quais os benefícios para o atendimento da população?</w:t>
            </w:r>
          </w:p>
          <w:p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que o material é necessário e imprescindível para a administração?</w:t>
            </w:r>
          </w:p>
          <w:p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Outras razões que justifiquem a aquisição.</w:t>
            </w:r>
          </w:p>
        </w:tc>
      </w:tr>
    </w:tbl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Previsão da contratação no plano de contratações anual - PCA, sempre que elaborado | Alinhamento com o planejamento da Administração </w:t>
      </w:r>
      <w:r>
        <w:rPr>
          <w:rFonts w:ascii="Arial" w:hAnsi="Arial" w:cs="Arial"/>
          <w:sz w:val="16"/>
          <w:szCs w:val="16"/>
        </w:rPr>
        <w:t>(art. 15, II, Dec. 10.086/22)</w:t>
      </w:r>
    </w:p>
    <w:p>
      <w:pPr>
        <w:spacing w:after="60" w:line="240" w:lineRule="auto"/>
        <w:ind w:firstLine="709"/>
        <w:rPr>
          <w:rFonts w:ascii="Arial" w:hAnsi="Arial" w:cs="Arial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shd w:val="clear" w:color="auto" w:fill="FFFF00"/>
          </w:tcPr>
          <w:p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 Orientativa: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Citar que o Item que está sendo contratado está previsto no Plano de Contratação Anual elaborado pela UEPG (e suas unidades), </w:t>
            </w: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  <w14:textFill>
                  <w14:solidFill>
                    <w14:schemeClr w14:val="tx2"/>
                  </w14:solidFill>
                </w14:textFill>
              </w:rPr>
              <w:t>informar a linha onde o item está inserido (Ex: Acetazolamida comprimido simples – 250 mg – linha 19 do PAC da FARMHOS) e a quantidade presente na coluna K.</w:t>
            </w:r>
          </w:p>
          <w:p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o item não constar no PCA, informar que será solicitada a revisão do PCA e inclusão do Item; e justificar os motivos pelos quais o item não foi inserido no planejamento inicial do PCA</w:t>
            </w:r>
          </w:p>
        </w:tc>
      </w:tr>
    </w:tbl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ind w:left="360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Requisitos da contratação </w:t>
      </w:r>
      <w:r>
        <w:rPr>
          <w:rFonts w:ascii="Arial" w:hAnsi="Arial" w:cs="Arial"/>
          <w:sz w:val="16"/>
          <w:szCs w:val="16"/>
        </w:rPr>
        <w:t>(art. 15, III, Dec. 10.086/22)</w:t>
      </w:r>
    </w:p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1.3.1 Requisitos básicos do bem/serviço</w:t>
      </w:r>
    </w:p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shd w:val="clear" w:color="auto" w:fill="FFFF00"/>
          </w:tcPr>
          <w:p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 orientativa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Decreto 10.086/21: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 376. Os requisitos da contratação consistem nas exigências de diversas ordens a serem atendidas, objetivando, ao final, a aquisição do bem ou a prestação do serviço, dentre elas a exigência de fixação dos requisitos de habilitação necessários e suficientes à demonstração da capacidade do licitante e do contratado de realizar o objeto.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 377. Para a habilitação nas licitações e, no que couber, nas contratações diretas, a elaboração do termo de referência e do edital deverão observar as regras e documentação constantes no Capítulo VI do Título II da Lei Federal nº 14.133, de 2021 e neste Regulamento.</w:t>
            </w:r>
          </w:p>
        </w:tc>
      </w:tr>
    </w:tbl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highlight w:val="yellow"/>
        </w:rPr>
        <w:t>Texto sugerido:</w:t>
      </w:r>
    </w:p>
    <w:p>
      <w:pPr>
        <w:spacing w:after="6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a habilitação nas licitações e, no que couber, nas contratações diretas, a elaboração do termo de referência e do edital deverão observar as regras e documentação constantes no Capítulo VI do Título II da Lei Federal nº 14.133, de 2021 e neste Regulamento.</w:t>
      </w:r>
    </w:p>
    <w:p>
      <w:pPr>
        <w:spacing w:after="6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(...)</w:t>
      </w:r>
    </w:p>
    <w:p>
      <w:pPr>
        <w:spacing w:after="6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highlight w:val="yellow"/>
        </w:rPr>
        <w:t>Adicionalmente, detalhar as exigências relacionadas ao bem ou serviço, inerentes ao objeto, ou a forma de execução do serviço, etc.</w:t>
      </w:r>
    </w:p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1.3.2 Requisitos de habilitação complementares</w:t>
      </w:r>
    </w:p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shd w:val="clear" w:color="auto" w:fill="FFFF00"/>
          </w:tcPr>
          <w:p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 orientativa: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 caso de exigência de requisitos de habilitação complementares, se houver, além dos já previstos no  Anexo II (Documentos de Habilitação) das </w:t>
            </w: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  <w14:textFill>
                  <w14:solidFill>
                    <w14:schemeClr w14:val="tx2"/>
                  </w14:solidFill>
                </w14:textFill>
              </w:rPr>
              <w:t>minutas de Edital da UEPG</w:t>
            </w:r>
            <w:r>
              <w:rPr>
                <w:rFonts w:ascii="Arial" w:hAnsi="Arial" w:cs="Arial"/>
                <w:sz w:val="18"/>
                <w:szCs w:val="18"/>
              </w:rPr>
              <w:t>, citar a regulamentação/norma que exige o requisito;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requisitos citados neste tópico (1.3.2) serão exigidos na etapa de habilitação/classificação da empresa, e em caso de não apresentação a empresa poderá ser desclassificada.</w:t>
            </w:r>
          </w:p>
          <w:p>
            <w:pPr>
              <w:spacing w:after="60"/>
              <w:jc w:val="both"/>
              <w:rPr>
                <w:rFonts w:ascii="Arial" w:hAnsi="Arial" w:cs="Arial"/>
                <w:b/>
                <w:color w:val="1F497D" w:themeColor="text2"/>
                <w:sz w:val="18"/>
                <w:szCs w:val="18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szCs w:val="18"/>
                <w14:textFill>
                  <w14:solidFill>
                    <w14:schemeClr w14:val="tx2"/>
                  </w14:solidFill>
                </w14:textFill>
              </w:rPr>
              <w:t>Ex: nos editais de material médico, são solicitados atestados de capacidade técnica. Nos de serviços de engenharia, os atestados do CREA.</w:t>
            </w:r>
          </w:p>
        </w:tc>
      </w:tr>
    </w:tbl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pStyle w:val="17"/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Estimativas das quantidades para a contratação | Memória de Cálculo </w:t>
      </w:r>
      <w:r>
        <w:rPr>
          <w:rFonts w:ascii="Arial" w:hAnsi="Arial" w:cs="Arial"/>
          <w:sz w:val="16"/>
          <w:szCs w:val="16"/>
        </w:rPr>
        <w:t>(art. 15, IV, Dec. 10.086/22)</w:t>
      </w:r>
    </w:p>
    <w:p>
      <w:pPr>
        <w:spacing w:after="60" w:line="240" w:lineRule="auto"/>
        <w:ind w:firstLine="709"/>
        <w:rPr>
          <w:rFonts w:ascii="Arial" w:hAnsi="Arial" w:cs="Arial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shd w:val="clear" w:color="auto" w:fill="FFFF00"/>
          </w:tcPr>
          <w:p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 orientativa:</w:t>
            </w:r>
          </w:p>
          <w:p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Demonstrar a metodologia utilizada para a mensuração da demanda;</w:t>
            </w:r>
          </w:p>
          <w:p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Demonstrar o histórico de consumo;</w:t>
            </w:r>
          </w:p>
          <w:p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Informar o % de reserva técnica, se houver</w:t>
            </w:r>
          </w:p>
        </w:tc>
      </w:tr>
    </w:tbl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2"/>
          <w:numId w:val="1"/>
        </w:numPr>
        <w:suppressAutoHyphens w:val="0"/>
        <w:spacing w:after="60" w:line="240" w:lineRule="auto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Quanto à forma de definição da quantidade a ser adquirida</w:t>
      </w:r>
    </w:p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1.4.2 Quanto à Memória de Cálculo </w:t>
      </w:r>
    </w:p>
    <w:p>
      <w:pPr>
        <w:spacing w:after="6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Demonstrar e especificar como foram definidas as quantidades (pesquisa interna de demanda? Com base no histórico de consumo?)</w:t>
      </w:r>
    </w:p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rPr>
          <w:rFonts w:ascii="Arial" w:hAnsi="Arial" w:cs="Arial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  <w:r>
        <w:rPr>
          <w:rFonts w:ascii="Arial" w:hAnsi="Arial" w:cs="Arial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  <w:t>O modelo é o mesmo do Anexo da Motivação</w:t>
      </w:r>
    </w:p>
    <w:p>
      <w:pPr>
        <w:spacing w:after="60" w:line="240" w:lineRule="auto"/>
        <w:rPr>
          <w:rFonts w:ascii="Arial" w:hAnsi="Arial" w:cs="Arial"/>
          <w:b/>
          <w:color w:val="1F497D" w:themeColor="text2"/>
          <w:sz w:val="20"/>
          <w:szCs w:val="20"/>
          <w14:textFill>
            <w14:solidFill>
              <w14:schemeClr w14:val="tx2"/>
            </w14:solidFill>
          </w14:textFill>
        </w:rPr>
      </w:pPr>
    </w:p>
    <w:tbl>
      <w:tblPr>
        <w:tblStyle w:val="3"/>
        <w:tblW w:w="9260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20"/>
        <w:gridCol w:w="1340"/>
        <w:gridCol w:w="1220"/>
        <w:gridCol w:w="1340"/>
        <w:gridCol w:w="200"/>
        <w:gridCol w:w="1720"/>
        <w:gridCol w:w="250"/>
        <w:gridCol w:w="197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0" w:hRule="atLeas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DESCRIÇÃO DO ITEM:</w:t>
            </w:r>
          </w:p>
        </w:tc>
        <w:tc>
          <w:tcPr>
            <w:tcW w:w="6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CÓD GMS</w:t>
            </w:r>
          </w:p>
        </w:tc>
        <w:tc>
          <w:tcPr>
            <w:tcW w:w="6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" w:hRule="atLeast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4" w:hRule="atLeast"/>
          <w:jc w:val="center"/>
        </w:trPr>
        <w:tc>
          <w:tcPr>
            <w:tcW w:w="9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HISTÓRICO DE CONSUMO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" w:hRule="atLeast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JAN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/XX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JUL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/XX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ESTOQUE ATUAL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FEV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/XX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AGO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/XX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200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CONSUMO MÉDIO MENSAL</w:t>
            </w: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MAR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/XX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SET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/XX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200" w:type="dxa"/>
            <w:vMerge w:val="continue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9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ABR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/XX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OUT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/XX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PREVISÃO DE CONSUMO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MAI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/XX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NOV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/XX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200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 xml:space="preserve">QUANTIDADE ADQUIRIDA NA 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ÚLTIMA COMPRA</w:t>
            </w: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JUN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/XX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DEZ</w:t>
            </w: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/XX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7" w:hRule="atLeast"/>
          <w:jc w:val="center"/>
        </w:trPr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200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val="en-US"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val="en-US" w:eastAsia="pt-BR"/>
              </w:rPr>
              <w:t>DATA ÚLTIMA COMPRA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" w:hRule="atLeast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  <w:jc w:val="center"/>
        </w:trPr>
        <w:tc>
          <w:tcPr>
            <w:tcW w:w="9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RESPOSTA PESQUISA DE INTERESSE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" w:hRule="atLeast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  <w:jc w:val="center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Nº PESQUISA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DATA RESPOSTA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0" w:hRule="atLeast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  <w:jc w:val="center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Arial Narrow" w:hAnsi="Arial Narrow" w:eastAsia="Times New Roman"/>
                <w:b/>
                <w:bCs/>
                <w:color w:val="000000"/>
                <w:sz w:val="20"/>
                <w:lang w:eastAsia="pt-BR"/>
              </w:rPr>
              <w:t>PREGÃO PARTICIPAÇÃO NO DECON</w:t>
            </w:r>
          </w:p>
        </w:tc>
        <w:tc>
          <w:tcPr>
            <w:tcW w:w="5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lang w:eastAsia="pt-BR"/>
              </w:rPr>
              <w:t> </w:t>
            </w:r>
          </w:p>
        </w:tc>
      </w:tr>
    </w:tbl>
    <w:p>
      <w:pPr>
        <w:ind w:left="660" w:leftChars="300"/>
      </w:pPr>
    </w:p>
    <w:p>
      <w:pPr>
        <w:ind w:left="660" w:leftChars="300"/>
      </w:pPr>
      <w:r>
        <w:t>OBSERVAÇÕES:</w:t>
      </w:r>
    </w:p>
    <w:tbl>
      <w:tblPr>
        <w:tblStyle w:val="12"/>
        <w:tblW w:w="9225" w:type="dxa"/>
        <w:tblInd w:w="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tcBorders>
              <w:top w:val="nil"/>
              <w:left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tcBorders>
              <w:left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tcBorders>
              <w:left w:val="nil"/>
              <w:righ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tcBorders>
              <w:left w:val="nil"/>
              <w:right w:val="nil"/>
            </w:tcBorders>
          </w:tcPr>
          <w:p/>
        </w:tc>
      </w:tr>
    </w:tbl>
    <w:p>
      <w:pPr>
        <w:ind w:left="660" w:leftChars="300"/>
      </w:pPr>
    </w:p>
    <w:p>
      <w:pPr>
        <w:spacing w:after="0" w:line="288" w:lineRule="auto"/>
        <w:rPr>
          <w:rFonts w:ascii="Arial" w:hAnsi="Arial" w:cs="Arial"/>
          <w:b/>
          <w:sz w:val="18"/>
          <w:szCs w:val="18"/>
        </w:rPr>
      </w:pPr>
      <w:r>
        <w:tab/>
      </w:r>
      <w:r>
        <w:rPr>
          <w:rFonts w:ascii="Arial" w:hAnsi="Arial" w:cs="Arial"/>
          <w:b/>
          <w:sz w:val="18"/>
          <w:szCs w:val="18"/>
          <w:highlight w:val="yellow"/>
        </w:rPr>
        <w:t>Notas explicativas:</w:t>
      </w:r>
    </w:p>
    <w:p>
      <w:pPr>
        <w:spacing w:after="0"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As notas são meramente explicativas. Dessa forma, ela deve ser retirada do pedido no momento da entrega da RM e do Estudo Técnico Preliminar.</w:t>
      </w:r>
    </w:p>
    <w:p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01 – Pedidos para licitação devem ser pensados para consumo de um ano. NÃO serão aceitos pedidos complementares para o mesmo item.</w:t>
      </w:r>
    </w:p>
    <w:p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Obs: caso ocorra algum fato superveniente</w:t>
      </w:r>
      <w:r>
        <w:rPr>
          <w:rStyle w:val="4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>, o setor deve justificar de forma clara e objetiva junto à motivação do ato do pedido.</w:t>
      </w:r>
    </w:p>
    <w:p>
      <w:pPr>
        <w:spacing w:after="0"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02 - Para pedido de Dispensa informar se o item já está em processo de licitação com número da RM ou do pregão;</w:t>
      </w:r>
    </w:p>
    <w:p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03 - Em casos de Dispensa pelo artigo 75, Incisos I e II da Lei 14.133/21 (dispensa por valor), explicar porque não é vantajoso fazer licitação;</w:t>
      </w:r>
    </w:p>
    <w:p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04 – Para os processos de Dispensa por urgência (artigo 75, Inciso VIII da Lei 14.133/21) deve-se solicitar no mesmo momento, mas em RMs distintas, a realização de pregão eletrônico, sendo que ambos pedidos devem ser fundamentados. Somado a isso, o setor deve observar que o quantitativo máximo do pedido deve ser o suficiente para 06 (seis) meses. O prazo máximo de conclusão da dispensa por urgência é de, no máximo de 30 dias, a contar da data da homologação do pregão que teve como resultado deserto ou fracassado.</w:t>
      </w:r>
    </w:p>
    <w:p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05 – IMPORTANTE: Ao responder as pesquisas de interesse, o setor NÃO deve solicitar o mesmo material para abertura de processo licitatório pelo Hospital Universitário. </w:t>
      </w:r>
    </w:p>
    <w:p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06 – Nas pesquisas de interesse/ participações, conforme Lei 17081 de 09 de fevereiro de 2012, o órgão tem a obrigação de utilizar, no mínimo 65% do solicitado.</w:t>
      </w:r>
    </w:p>
    <w:p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07 - No item </w:t>
      </w:r>
      <w:r>
        <w:rPr>
          <w:rFonts w:ascii="Arial" w:hAnsi="Arial" w:cs="Arial"/>
          <w:b/>
          <w:bCs/>
          <w:sz w:val="18"/>
          <w:szCs w:val="18"/>
        </w:rPr>
        <w:t>“ESTOQUE ATUAL”</w:t>
      </w:r>
      <w:r>
        <w:rPr>
          <w:rFonts w:ascii="Arial" w:hAnsi="Arial" w:cs="Arial"/>
          <w:sz w:val="18"/>
          <w:szCs w:val="18"/>
        </w:rPr>
        <w:t xml:space="preserve"> colocar a quantidade do estoque físico + quantitativo a ser entregue (caso tenha contrato vigente e que a empresa ainda não realizou o quantitativo total do contrato) ou estoque físico - quantitativo emprestado (caso o produto em estoque for proveniente de empréstimo).</w:t>
      </w:r>
    </w:p>
    <w:p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08 - No item “PREVISÃO DE CONSUMO” colocar o quantitativo (consumo médio mensal x 12 meses). Em casos em que a previsão de consumo for diferente do cálculo anterior, a justificativa e a forma que foi realizado o cálculo DEVERÃO estar descritos.</w:t>
      </w:r>
    </w:p>
    <w:p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>
      <w:pPr>
        <w:pStyle w:val="6"/>
        <w:shd w:val="clear" w:color="auto" w:fill="92D050"/>
        <w:spacing w:before="0" w:beforeAutospacing="0" w:after="150" w:afterAutospacing="0"/>
        <w:rPr>
          <w:rFonts w:ascii="Helvetica" w:hAnsi="Helvetica"/>
          <w:b/>
          <w:color w:val="333333"/>
          <w:sz w:val="21"/>
          <w:szCs w:val="21"/>
        </w:rPr>
      </w:pPr>
      <w:r>
        <w:rPr>
          <w:rFonts w:ascii="Helvetica" w:hAnsi="Helvetica"/>
          <w:b/>
          <w:color w:val="333333"/>
          <w:sz w:val="21"/>
          <w:szCs w:val="21"/>
        </w:rPr>
        <w:t>09 - critérios de medição e de pagamento:</w:t>
      </w:r>
    </w:p>
    <w:p>
      <w:pPr>
        <w:pStyle w:val="6"/>
        <w:shd w:val="clear" w:color="auto" w:fill="92D050"/>
        <w:spacing w:before="0" w:beforeAutospacing="0" w:after="150" w:afterAutospacing="0"/>
        <w:rPr>
          <w:rFonts w:ascii="Helvetica" w:hAnsi="Helvetica"/>
          <w:b/>
          <w:color w:val="333333"/>
          <w:sz w:val="21"/>
          <w:szCs w:val="21"/>
        </w:rPr>
      </w:pPr>
      <w:r>
        <w:rPr>
          <w:rFonts w:ascii="Helvetica" w:hAnsi="Helvetica"/>
          <w:b/>
          <w:color w:val="333333"/>
          <w:sz w:val="21"/>
          <w:szCs w:val="21"/>
        </w:rPr>
        <w:t>10 - forma e critérios de seleção do fornecedor:</w:t>
      </w:r>
    </w:p>
    <w:p>
      <w:pPr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Levantamento de mercado: análise das soluções existentes no mercado e justificativa técnica e econômica da escolha do tipo de solução a contratar </w:t>
      </w:r>
      <w:r>
        <w:rPr>
          <w:rFonts w:ascii="Arial" w:hAnsi="Arial" w:cs="Arial"/>
          <w:sz w:val="16"/>
          <w:szCs w:val="16"/>
        </w:rPr>
        <w:t>(art. 15, V, Dec. 10.086/22)</w:t>
      </w:r>
    </w:p>
    <w:p>
      <w:pPr>
        <w:spacing w:after="6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shd w:val="clear" w:color="auto" w:fill="FFFF00"/>
          </w:tcPr>
          <w:p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 orientativa: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 a comparação das soluções existentes (ex. compra, locação, comodato);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Mensuração do custo de cada solução (Inserir um quadro comparativo se possível);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Detalhamento das vantagens e desvantagens (mensuráveis e imensuráveis) de cada solução;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Considerar contratações similares feitas por outros órgãos e entidades, com objetivo de identificar a existência de novas metodologias, tecnologias ou inovações que melhor atendam às necessidades da administração;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Realizar consulta, audiência pública ou diálogo transparente com potenciais contratadas, para coleta de contribuições;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Conclusão e escolha da melhor alternativa.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Caso o objeto/serviço se tratar de um item que não possua mais de uma solução no mercado, este tópico pode ser dispensado, porém deve ser inserida justificativa da não elaboração deste tópico.</w:t>
            </w:r>
          </w:p>
        </w:tc>
      </w:tr>
    </w:tbl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1.5.1 Soluções Existentes no mercado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1.5.2 Análise das soluções existentes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1.5.3 Conclusão quanto à solução a ser adotara e os motivos da escolha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Estimativa do valor da contratação </w:t>
      </w:r>
      <w:r>
        <w:rPr>
          <w:rFonts w:ascii="Arial" w:hAnsi="Arial" w:cs="Arial"/>
          <w:sz w:val="16"/>
          <w:szCs w:val="16"/>
        </w:rPr>
        <w:t>(art. 15, VI, Dec. 10.086/22)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shd w:val="clear" w:color="auto" w:fill="FFFF00"/>
          </w:tcPr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Tendo em vista que o Estudo Técnico Preliminar é realizado na etapa de planejamento da contratação e que a Etapa de pesquisa de preço é realizada somente na fase preparatória da contratação (se ocorrer), neste tópico pode ser inserido apenas o valor estimado dos itens, com base em histórico anterior de contratação ou valor estimado de mercado.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 há necessidade de realização de pesquisa de preço com fornecedores nesta etapa - a não ser que a pesquisa já tenha sido realizada, neste caso pode ser inseridos os valores reais.</w:t>
            </w:r>
          </w:p>
        </w:tc>
      </w:tr>
    </w:tbl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Descrição da solução como um todo – Objeto Técnico </w:t>
      </w:r>
      <w:r>
        <w:rPr>
          <w:rFonts w:ascii="Arial" w:hAnsi="Arial" w:cs="Arial"/>
          <w:sz w:val="16"/>
          <w:szCs w:val="16"/>
        </w:rPr>
        <w:t>(art. 15, VII, Dec. 10.086/22)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shd w:val="clear" w:color="auto" w:fill="FFFF00"/>
          </w:tcPr>
          <w:p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 Orientativa:</w:t>
            </w:r>
          </w:p>
          <w:p>
            <w:pPr>
              <w:shd w:val="clear" w:color="auto" w:fill="92D05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Inserir neste tópico a descrição completa do produto/serviço a ser adquirido/contratado.</w:t>
            </w:r>
          </w:p>
          <w:p>
            <w:pPr>
              <w:shd w:val="clear" w:color="auto" w:fill="92D05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10.086/2022, art.15. – especificação do produto, preferencialmente conforme catálogo eletrônico de padronização (COLOCAR o nº  do produto/serviço no GMS), observados os requisitos de qualidade, rendimento, compatibilidade, durabilidade e segurança;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Detalhar a solução/especificação técnica como um todo, inclusive das exigências relacionadas à manutenção e à assistência técnica, quando couber, e a forma de entrega ou execução do serviço (tópicos que serão inseridos no Termo de Referência posteriormente).</w:t>
            </w:r>
          </w:p>
          <w:p>
            <w:pPr>
              <w:shd w:val="clear" w:color="auto" w:fill="FFFFFF" w:themeFill="background1"/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Especificar o(s) prazo(s), local (is) e as condições de entrega ou execução do objeto.</w:t>
            </w:r>
          </w:p>
          <w:p>
            <w:pPr>
              <w:shd w:val="clear" w:color="auto" w:fill="FFFFFF" w:themeFill="background1"/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Especificar os prazo para recebimento do objeto de forma provisória, de forma definitiva e prazo e em caso de rejeição do objeto quanto tempo a empresa tem para entregar a o objeto correto.  </w:t>
            </w:r>
          </w:p>
          <w:p>
            <w:pPr>
              <w:shd w:val="clear" w:color="auto" w:fill="FFFFFF" w:themeFill="background1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Informar, por exemplo, se a entrega será integral, parcelada, fracionada, etc., quantidade específica ou conforme necessidade, informar endereço, horário, etc, além do critério de punição para entregas fora do prazo.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Deverão ser observados os prazos médios do mercado para se obter uma melhor satisfação no resultado.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Especificar prazo e condições de garantia. 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Informar o responsável pelo recebimento, telefone e e-mail, o responsável pela avaliação das propostas e documentação técnica para cada item, os responsáveis pela gestão e fiscalização contratual, quando couber.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Informar possíveis penalidades a serem aplicadas por descumprimento de cláusulas contratuais e particularidades consideradas relevantes na entrega do bem ou na execução do serviço.</w:t>
            </w:r>
          </w:p>
        </w:tc>
      </w:tr>
    </w:tbl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Justificativas para o parcelamento ou não da contratação </w:t>
      </w:r>
      <w:r>
        <w:rPr>
          <w:rFonts w:ascii="Arial" w:hAnsi="Arial" w:cs="Arial"/>
          <w:sz w:val="16"/>
          <w:szCs w:val="16"/>
        </w:rPr>
        <w:t>(art. 15, VIII, Dec. 10.086/22)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3"/>
        <w:tblW w:w="969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96"/>
      </w:tblGrid>
      <w:tr>
        <w:tc>
          <w:tcPr>
            <w:tcW w:w="96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27"/>
              <w:shd w:val="clear" w:color="auto" w:fill="FFFF00"/>
              <w:spacing w:after="57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124884966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Nota explicativa:</w:t>
            </w:r>
          </w:p>
          <w:p>
            <w:pPr>
              <w:pStyle w:val="28"/>
              <w:shd w:val="clear" w:color="auto" w:fill="FFFF00"/>
              <w:spacing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eastAsia="ArialMT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Obs. As notas explicativas são meramente orientativas. Portanto, devem ser excluídas)</w:t>
            </w:r>
          </w:p>
          <w:p>
            <w:pPr>
              <w:pStyle w:val="26"/>
              <w:shd w:val="clear" w:color="auto" w:fill="FFFF00"/>
              <w:spacing w:after="57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 xml:space="preserve">O parcelamento da contratação se refere a forma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  <w:lang w:eastAsia="en-US"/>
              </w:rPr>
              <w:t>como o objeto foi dividido por lotes e itens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>. Exemplo:</w:t>
            </w:r>
          </w:p>
          <w:p>
            <w:pPr>
              <w:pStyle w:val="26"/>
              <w:shd w:val="clear" w:color="auto" w:fill="FFFF00"/>
              <w:spacing w:after="57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 xml:space="preserve">O objeto será parcelado em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FFF00"/>
                <w:lang w:eastAsia="en-US"/>
              </w:rPr>
              <w:t xml:space="preserve">xx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 xml:space="preserve">lotes contendo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FFF00"/>
                <w:lang w:eastAsia="en-US"/>
              </w:rPr>
              <w:t xml:space="preserve">xx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>itens cada;</w:t>
            </w:r>
          </w:p>
          <w:p>
            <w:pPr>
              <w:pStyle w:val="26"/>
              <w:shd w:val="clear" w:color="auto" w:fill="FFFF00"/>
              <w:spacing w:after="57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 xml:space="preserve">O objeto será parcelado em apenas 01 lote contendo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FFF00"/>
                <w:lang w:eastAsia="en-US"/>
              </w:rPr>
              <w:t xml:space="preserve">xx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>itens;</w:t>
            </w:r>
          </w:p>
          <w:p>
            <w:pPr>
              <w:pStyle w:val="26"/>
              <w:shd w:val="clear" w:color="auto" w:fill="FFFF00"/>
              <w:spacing w:after="57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 xml:space="preserve">O objeto será parcelado em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FFF00"/>
                <w:lang w:eastAsia="en-US"/>
              </w:rPr>
              <w:t xml:space="preserve">xx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>Lotes contendo apenas 01 item cada;</w:t>
            </w:r>
          </w:p>
          <w:p>
            <w:pPr>
              <w:pStyle w:val="26"/>
              <w:shd w:val="clear" w:color="auto" w:fill="FFFF00"/>
              <w:spacing w:after="57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</w:pPr>
          </w:p>
          <w:p>
            <w:pPr>
              <w:pStyle w:val="26"/>
              <w:shd w:val="clear" w:color="auto" w:fill="FFFF00"/>
              <w:spacing w:after="57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 xml:space="preserve">1. O objeto deverá ser dividido em tantas parcelas/lotes quantas se comprovarem técnica e economicamente viáveis.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00"/>
                <w:lang w:eastAsia="en-US"/>
              </w:rPr>
              <w:t>Quando o mesmo lote reunir diversos itens, deverá haver justificativa nos autos que demonstre as razões técnicas e econômicas para a não adoção do parcelamento (cada item 1 lote)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>.</w:t>
            </w:r>
          </w:p>
          <w:p>
            <w:pPr>
              <w:pStyle w:val="26"/>
              <w:shd w:val="clear" w:color="auto" w:fill="FFFF00"/>
              <w:spacing w:after="57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>Destaque-se o teor da Súmula 247 do TCU: “É obrigatória a admissão da adjudicação por item e não por preço global, nos editais das licitações para a contratação de obras, serviços, compras e alienações, cujo objeto seja divisível, desde que não haja prejuízo para o conjunto ou complexo ou perda de economia de escala, tendo em vista o objetivo de propiciar a ampla participação de licitantes que, embora não dispondo de capacidade para a execução, fornecimento ou aquisição da totalidade do objeto, possam fazê-lo com relação a itens ou unidades autônomas, devendo as exigências de habilitação adequar-se a essa divisibilidade.”</w:t>
            </w:r>
          </w:p>
          <w:p>
            <w:pPr>
              <w:pStyle w:val="26"/>
              <w:shd w:val="clear" w:color="auto" w:fill="FFFF00"/>
              <w:spacing w:after="57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</w:pPr>
          </w:p>
          <w:p>
            <w:pPr>
              <w:pStyle w:val="26"/>
              <w:shd w:val="clear" w:color="auto" w:fill="FFFF00"/>
              <w:spacing w:after="57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>2. ADOÇÃO DE MODELAGEM DE LICITAÇÃO POR LOTE GLOBAL E NÃO POR ITEM.</w:t>
            </w:r>
          </w:p>
          <w:p>
            <w:pPr>
              <w:pStyle w:val="26"/>
              <w:shd w:val="clear" w:color="auto" w:fill="FFFF00"/>
              <w:spacing w:after="57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>A licitação deve propiciar à Administração Pública a contratação mais vantajosa, de forma que o art. 40, inciso V, alínea b, da Lei Federal 14.133/2021, determina a divisão do objeto em tantas parcelas quanto técnica e economicamente viável, o que amplia a competição, conquanto, de toda sorte, que essa escolha possa resultar maior economicidade (no mesmo sentido, vide orientação do Tribunal de Contas da União, Súmula 247)</w:t>
            </w:r>
          </w:p>
          <w:p>
            <w:pPr>
              <w:pStyle w:val="26"/>
              <w:shd w:val="clear" w:color="auto" w:fill="FFFF00"/>
              <w:spacing w:after="57"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00"/>
                <w:lang w:eastAsia="en-US"/>
              </w:rPr>
              <w:t>Daí porque é necessário que conste no procedimento interno justificativa pela indivisibilidade do objeto licitado, ou seja, que se apresente as razões para a adoção por lote global.</w:t>
            </w:r>
          </w:p>
        </w:tc>
      </w:tr>
      <w:bookmarkEnd w:id="0"/>
    </w:tbl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Demonstrativo dos resultados pretendidos em termos de economicidade e de melhor aproveitamento dos recursos humanos, materiais e financeiros disponíveis </w:t>
      </w:r>
      <w:r>
        <w:rPr>
          <w:rFonts w:ascii="Arial" w:hAnsi="Arial" w:cs="Arial"/>
          <w:sz w:val="16"/>
          <w:szCs w:val="16"/>
        </w:rPr>
        <w:t>(art. 15, IX, Dec. 10.086/22)</w:t>
      </w:r>
    </w:p>
    <w:p>
      <w:pPr>
        <w:pStyle w:val="17"/>
        <w:spacing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</w:tblPrEx>
        <w:tc>
          <w:tcPr>
            <w:tcW w:w="9628" w:type="dxa"/>
            <w:shd w:val="clear" w:color="auto" w:fill="FFFF00"/>
          </w:tcPr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 orientativa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Demonstrar neste tópico os eventuais impactos dessa aquisição em termos de economicidade para a administração pública, aproveitamento dos recursos humanos, materiais e financeiros disponíveis.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análise deve reforçar a importância da aquisição em termos de gestão, e seus impactos nos resultados dos serviços prestados pela UEPG.</w:t>
            </w:r>
          </w:p>
        </w:tc>
      </w:tr>
    </w:tbl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Providências a serem adotadas pela Administração previamente à celebração do contrato, inclusive quanto à capacitação de servidores ou de empregados para fiscalização e gestão contratual </w:t>
      </w:r>
      <w:r>
        <w:rPr>
          <w:rFonts w:ascii="Arial" w:hAnsi="Arial" w:cs="Arial"/>
          <w:sz w:val="16"/>
          <w:szCs w:val="16"/>
        </w:rPr>
        <w:t>(art. 15, X, Dec. 10.086/22)</w:t>
      </w:r>
    </w:p>
    <w:p>
      <w:pPr>
        <w:pStyle w:val="17"/>
        <w:spacing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shd w:val="clear" w:color="auto" w:fill="FFFF00"/>
          </w:tcPr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127441188"/>
            <w:r>
              <w:rPr>
                <w:rFonts w:ascii="Arial" w:hAnsi="Arial" w:cs="Arial"/>
                <w:b/>
                <w:sz w:val="18"/>
                <w:szCs w:val="18"/>
              </w:rPr>
              <w:t>Nota orientativa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houver necessidade de providências prévias vinculadas à futura contratação pretendida, e/ou necessidade de capacitação dos servidores, inserir neste tópico.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Justificar as providências ou capacitações necessárias.</w:t>
            </w:r>
          </w:p>
          <w:p>
            <w:pPr>
              <w:spacing w:after="60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00"/>
              </w:rPr>
              <w:t xml:space="preserve">- Se houver CONTRATO mencionar o prazo de vigência e se for o caso da possibilidade de prorrogação. </w:t>
            </w:r>
          </w:p>
          <w:p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 modelo de execução do objeto, que consiste na definição de como o contrato deverá produzir os resultados pretendidos desde o seu início até o seu encerramento;</w:t>
            </w:r>
          </w:p>
          <w:p>
            <w:pPr>
              <w:spacing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 modelo de gestão do contrato, que descreve como a execução do objeto será acompanhada e fiscalizada pelo órgão ou entidade;</w:t>
            </w:r>
          </w:p>
        </w:tc>
      </w:tr>
      <w:bookmarkEnd w:id="1"/>
    </w:tbl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Contratações correlatas e/ou interdependentes</w:t>
      </w:r>
      <w:r>
        <w:rPr>
          <w:rFonts w:ascii="Arial" w:hAnsi="Arial" w:cs="Arial"/>
          <w:sz w:val="16"/>
          <w:szCs w:val="16"/>
        </w:rPr>
        <w:t>(art. 15, XI, Dec. 10.086/22)</w:t>
      </w:r>
    </w:p>
    <w:p>
      <w:pPr>
        <w:pStyle w:val="17"/>
        <w:spacing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shd w:val="clear" w:color="auto" w:fill="FFFF00"/>
          </w:tcPr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127440215"/>
            <w:r>
              <w:rPr>
                <w:rFonts w:ascii="Arial" w:hAnsi="Arial" w:cs="Arial"/>
                <w:b/>
                <w:sz w:val="18"/>
                <w:szCs w:val="18"/>
              </w:rPr>
              <w:t>Nota orientativa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Elencar neste tópico outras contratações que eventualmente sejam necessárias em decorrência da contratação que está sendo planejada. 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Ex: aquisição de equipamento x – contratação correlata: contratação de manutenção preventiva mensal para o equipamento x.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não houver contratações correlatas e/ou interdependentes, apenas citar que não se aplica.</w:t>
            </w:r>
          </w:p>
        </w:tc>
      </w:tr>
      <w:bookmarkEnd w:id="2"/>
    </w:tbl>
    <w:p>
      <w:pPr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pStyle w:val="17"/>
        <w:spacing w:after="60" w:line="240" w:lineRule="auto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Descrição de possíveis impactos ambientais e respectivas medidas mitigadoras, incluídos requisitos de baixo consumo de energia e de outros recursos, bem como logística reversa para desfazimento e reciclagem de bens e refugos</w:t>
      </w:r>
      <w:r>
        <w:rPr>
          <w:rFonts w:ascii="Arial" w:hAnsi="Arial" w:cs="Arial"/>
          <w:sz w:val="20"/>
          <w:szCs w:val="20"/>
        </w:rPr>
        <w:t>, quando aplicável</w:t>
      </w:r>
      <w:r>
        <w:rPr>
          <w:rFonts w:ascii="Arial" w:hAnsi="Arial" w:cs="Arial"/>
          <w:sz w:val="16"/>
          <w:szCs w:val="16"/>
        </w:rPr>
        <w:t>(art. 15, XII, Dec. 10.086/22)</w:t>
      </w:r>
    </w:p>
    <w:p>
      <w:pPr>
        <w:pStyle w:val="17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highlight w:val="yellow"/>
        </w:rPr>
        <w:t>Resposta sugerida:</w:t>
      </w:r>
    </w:p>
    <w:p>
      <w:pPr>
        <w:spacing w:after="60" w:line="240" w:lineRule="auto"/>
        <w:ind w:firstLine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 tópico “SUSTENTABILIDADE” do Termo de Referência deverão ser inseridas as práticas de sustentabilidade aplicáveis ao objeto, conforme o art. 362/363 do Decreto n.º 10.086, de 2022</w:t>
      </w:r>
      <w:r>
        <w:rPr>
          <w:rFonts w:ascii="Arial" w:hAnsi="Arial" w:cs="Arial"/>
          <w:sz w:val="20"/>
          <w:szCs w:val="20"/>
        </w:rPr>
        <w:t>: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highlight w:val="yellow"/>
        </w:rPr>
        <w:t xml:space="preserve">Adotar o artigo que se aplica à contratação (362 ou 362) e </w:t>
      </w:r>
      <w:r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excluir os incisos que não se aplicam ao objeto</w:t>
      </w:r>
      <w:r>
        <w:rPr>
          <w:rFonts w:ascii="Arial" w:hAnsi="Arial" w:cs="Arial"/>
          <w:color w:val="FF0000"/>
          <w:sz w:val="20"/>
          <w:szCs w:val="20"/>
          <w:highlight w:val="yellow"/>
        </w:rPr>
        <w:t xml:space="preserve"> – analisar todos os itens: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highlight w:val="yellow"/>
        </w:rPr>
        <w:t>Para aquisição de Bens: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362. No caso de aquisição de bens a Administração deverá prever que o contratado adotará as seguintes práticas de sustentabilidade, quando couber: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- que os bens sejam constituídos, no todo ou em parte, por material reciclado, atóxico, biodegradável, conforme normas específicas da ABNT;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- que sejam observados os requisitos ambientais para a obtenção de certificação do Instituto Nacional de Metrologia, Normalização e Qualidade Industrial - INMETRO, como produtos sustentáveis ou de menor impacto ambiental em relação aos seus similares;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 - que os bens devam ser, preferencialmente, acondicionados em embalagem individual adequada, com o menor volume possível, que utilize materiais recicláveis, de forma a garantir a máxima proteção durante o transporte e o armazenamento;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 - que os bens não contenham substâncias perigosas em concentração acima da recomendada na diretiva RoHS (RestrictionofCertainHazardousSubstances), tais como mercúrio (Hg), chumbo (Pb), cromo hexavalente (Cr(VI)), cádmio (Cd), bifenil-polibromados (PBBs), éteres difenil-polibromados (PBDEs).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1º A comprovação do disposto neste artigo poderá ser feita mediante apresentação de certificação emitida por instituição pública oficial ou instituição credenciada, ou por qualquer outro meio de prova que ateste que o bem fornecido cumpre com as exigências do edital.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2º O edital poderá estabelecer que, selecionada a proposta, antes da assinatura do contrato, em caso de inexistência de certificação que ateste a adequação, o órgão ou entidade contratante poderá realizar diligências para verificar a adequação do produto às exigências do ato convocatório, correndo as despesas por conta da licitante selecionada.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3º O edital ainda deve prever que, caso não se confirme a adequação do produto, a proposta selecionada será desclassificada.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  <w:highlight w:val="yellow"/>
        </w:rPr>
        <w:t>Para prestação de serviços: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363. No caso de prestação de serviços a Administração deverá prever que o contratado adotará as seguintes práticas de sustentabilidade, quando couber: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- que use produtos de limpeza e conservação de superfícies e objetos inanimados que obedeçam às classificações e especificações determinadas pela ANVISA;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- que adote medidas para evitar o desperdício de água tratada;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 - que observe a Resolução CONAMA nº 20 , de 7 de dezembro de 1994, ou outra que venha sucedê-la, quanto aos equipamentos de limpeza que gerem ruído no seu funcionamento;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 - que forneça aos empregados os equipamentos de segurança que se fizerem necessários, para a execução de serviços;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- que realize um programa interno de treinamento de seus empregados, nos três primeiros meses de execução contratual, para redução de consumo de energia elétrica, de consumo de água e de produção de resíduos sólidos, observadas as normas ambientais vigentes;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- que realize a separação dos resíduos recicláveis descartados pelos órgãos e entidades da Administração Pública Estadual direta, autárquica e fundacional, na fonte geradora, e a sua destinação às associações e cooperativas dos catadores de materiais recicláveis, que será procedida pela coleta seletiva do papel para reciclagem, quando couber, nos termos do Decreto nº 4.167, de 20 de janeiro de 2009;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 - que respeite as Normas Brasileiras - NBR publicadas pela ABNT sobre resíduos sólidos;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 - que preveja a destinação ambiental adequada das pilhas e baterias usadas ou inservíveis, segundo disposto na Lei nº 16.075 , de 1º de abril de 2009.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60" w:line="240" w:lineRule="auto"/>
        <w:ind w:firstLine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Também, deverá ser inserido no mesmo tópico, a exigência prevista na Lei Estadual 20132 de 20 de Janeiro de 2020, no que se refere à logística reversa</w:t>
      </w:r>
      <w:r>
        <w:rPr>
          <w:rFonts w:ascii="Arial" w:hAnsi="Arial" w:cs="Arial"/>
          <w:sz w:val="20"/>
          <w:szCs w:val="20"/>
        </w:rPr>
        <w:t>:</w:t>
      </w:r>
    </w:p>
    <w:p>
      <w:pPr>
        <w:pStyle w:val="17"/>
        <w:numPr>
          <w:ilvl w:val="0"/>
          <w:numId w:val="3"/>
        </w:numPr>
        <w:suppressAutoHyphens w:val="0"/>
        <w:spacing w:after="6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documentação relativa à Logística Reversa – Compra Inteligente Sustentável consistirá de declaração da empresa atestando o atendimento à Política Pública Ambiental de licitação sustentável, em especial, que se responsabiliza integralmente com a logística reversa dos produtos, embalagens e serviços pós-consumo no limite da proporção que fornecerem ao Poder Público, assumindo a responsabilidade pela destinação final ambientalmente adequada.</w:t>
      </w:r>
    </w:p>
    <w:p>
      <w:pPr>
        <w:pStyle w:val="17"/>
        <w:numPr>
          <w:ilvl w:val="0"/>
          <w:numId w:val="3"/>
        </w:numPr>
        <w:suppressAutoHyphens w:val="0"/>
        <w:spacing w:after="6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Entende-se por logística reversa o instrumento de desenvolvimento econômico e social caracterizado por um conjunto de ações, procedimentos e meios destinados a viabilizar a coleta e a restituição dos resíduos sólidos ao setor empresarial, para reaproveitamento em seu ciclo ou em outros ciclos produtivos, ou outra destinação final ambientalmente adequada.</w:t>
      </w:r>
    </w:p>
    <w:p>
      <w:pPr>
        <w:pStyle w:val="17"/>
        <w:numPr>
          <w:ilvl w:val="0"/>
          <w:numId w:val="3"/>
        </w:numPr>
        <w:suppressAutoHyphens w:val="0"/>
        <w:spacing w:after="6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responsabilidade compartilhada pelo ciclo de vida, da geração até a destinação final ambientalmente adequada, dos produtos, embalagens e serviços, é dos fabricantes, importadores, distribuidores e comerciantes.</w:t>
      </w:r>
    </w:p>
    <w:p>
      <w:pPr>
        <w:pStyle w:val="17"/>
        <w:numPr>
          <w:ilvl w:val="0"/>
          <w:numId w:val="3"/>
        </w:numPr>
        <w:suppressAutoHyphens w:val="0"/>
        <w:spacing w:after="6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dever imposto aos fabricantes, importadores, distribuidores e comerciantes de implementar e operacionalizar o Sistema de Logística Reversa independe das normas estabelecidas em acordos setoriais e termos de compromisso firmados entre o Poder Público e o setor empresarial, este deve decorrer diretamente da Lei.</w:t>
      </w:r>
    </w:p>
    <w:p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17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17"/>
        <w:numPr>
          <w:ilvl w:val="1"/>
          <w:numId w:val="2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suppressAutoHyphens w:val="0"/>
        <w:spacing w:after="6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Posicionamento conclusivo sobre a adequação da contratação para o atendimento da necessidade a que se destina</w:t>
      </w:r>
      <w:r>
        <w:rPr>
          <w:rFonts w:ascii="Arial" w:hAnsi="Arial" w:cs="Arial"/>
          <w:sz w:val="16"/>
          <w:szCs w:val="16"/>
        </w:rPr>
        <w:t>(art. 15, XIII, Dec. 10.086/22)</w:t>
      </w:r>
    </w:p>
    <w:p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shd w:val="clear" w:color="auto" w:fill="FFFF00"/>
          </w:tcPr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 orientativa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Desfecho da análise realizada nos tópicos anteriores, elaborar uma conclusão sobre a necessidade da contratação, bem como sua importância para os serviços executados pela UEPG, os resultados para a população, e como a aquisição se materializará em benefícios para o serviço público prestado pela UEPG.</w:t>
            </w:r>
          </w:p>
        </w:tc>
      </w:tr>
    </w:tbl>
    <w:p>
      <w:pPr>
        <w:tabs>
          <w:tab w:val="left" w:pos="979"/>
        </w:tabs>
        <w:rPr>
          <w:rFonts w:ascii="Arial" w:hAnsi="Arial" w:cs="Arial"/>
          <w:sz w:val="20"/>
          <w:szCs w:val="20"/>
        </w:rPr>
      </w:pPr>
    </w:p>
    <w:p>
      <w:pPr>
        <w:tabs>
          <w:tab w:val="left" w:pos="979"/>
        </w:tabs>
        <w:rPr>
          <w:rFonts w:ascii="Arial" w:hAnsi="Arial" w:cs="Arial"/>
          <w:sz w:val="20"/>
          <w:szCs w:val="20"/>
        </w:rPr>
      </w:pPr>
    </w:p>
    <w:p>
      <w:pPr>
        <w:tabs>
          <w:tab w:val="left" w:pos="979"/>
        </w:tabs>
        <w:rPr>
          <w:rFonts w:ascii="Arial" w:hAnsi="Arial" w:cs="Arial"/>
          <w:sz w:val="20"/>
          <w:szCs w:val="20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134" w:right="1134" w:bottom="1134" w:left="1134" w:header="709" w:footer="709" w:gutter="0"/>
          <w:cols w:space="708" w:num="1"/>
          <w:titlePg/>
          <w:docGrid w:linePitch="360" w:charSpace="0"/>
        </w:sectPr>
      </w:pPr>
    </w:p>
    <w:p>
      <w:pPr>
        <w:tabs>
          <w:tab w:val="left" w:pos="979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1</w:t>
      </w:r>
    </w:p>
    <w:p>
      <w:pPr>
        <w:tabs>
          <w:tab w:val="left" w:pos="97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MAPA DE RISCO</w:t>
      </w:r>
    </w:p>
    <w:p>
      <w:pPr>
        <w:tabs>
          <w:tab w:val="left" w:pos="979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(adaptado de anexo IV da IN nº 05/2017/SEGES/MPGD)</w:t>
      </w:r>
    </w:p>
    <w:tbl>
      <w:tblPr>
        <w:tblStyle w:val="12"/>
        <w:tblW w:w="1591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01"/>
        <w:gridCol w:w="1842"/>
        <w:gridCol w:w="1276"/>
        <w:gridCol w:w="850"/>
        <w:gridCol w:w="928"/>
        <w:gridCol w:w="1947"/>
        <w:gridCol w:w="1450"/>
        <w:gridCol w:w="223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Risco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Causa</w:t>
            </w:r>
          </w:p>
        </w:tc>
        <w:tc>
          <w:tcPr>
            <w:tcW w:w="1842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Dano/</w:t>
            </w:r>
          </w:p>
          <w:p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Consequência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Probabilidade</w:t>
            </w:r>
          </w:p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 a 5)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Impacto</w:t>
            </w:r>
          </w:p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 a 5)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Classif.</w:t>
            </w:r>
          </w:p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(ref. Matriz)</w:t>
            </w:r>
          </w:p>
        </w:tc>
        <w:tc>
          <w:tcPr>
            <w:tcW w:w="1947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Ação Preventiva</w:t>
            </w:r>
          </w:p>
        </w:tc>
        <w:tc>
          <w:tcPr>
            <w:tcW w:w="1450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Responsável</w:t>
            </w: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Ação de Contingência</w:t>
            </w:r>
          </w:p>
          <w:p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(se o risco se concretizar)</w:t>
            </w: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Responsável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abs>
                <w:tab w:val="left" w:pos="97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Questionamentos excessivos no pregão.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B2A1C7" w:themeFill="accent4" w:themeFillTint="99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abs>
                <w:tab w:val="left" w:pos="97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Licitação deserta ou com lote deserto.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00B05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Recusa em assinar o contrato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FF000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abs>
                <w:tab w:val="left" w:pos="97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Incapacidade da empresa vencedora em cumprir com o compromisso assumido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abs>
                <w:tab w:val="left" w:pos="97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Variação abrupta de preços durante a vigência do contrato.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abs>
                <w:tab w:val="left" w:pos="97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Solicitação de Reequilíbrio e Cancelamentos subsequentes à assinatura do contrato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abs>
                <w:tab w:val="left" w:pos="97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Indisponibilidade do bem licitado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tabs>
                <w:tab w:val="left" w:pos="97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Fornecimento de baixa qualidade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0" w:type="dxa"/>
            <w:shd w:val="clear" w:color="auto" w:fill="C6D9F0" w:themeFill="text2" w:themeFillTint="33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8DB3E2" w:themeFill="text2" w:themeFillTint="66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>
      <w:pPr>
        <w:tabs>
          <w:tab w:val="left" w:pos="979"/>
        </w:tabs>
        <w:rPr>
          <w:rFonts w:ascii="Arial" w:hAnsi="Arial" w:cs="Arial"/>
          <w:sz w:val="20"/>
          <w:szCs w:val="20"/>
        </w:rPr>
      </w:pPr>
    </w:p>
    <w:p>
      <w:pPr>
        <w:tabs>
          <w:tab w:val="left" w:pos="979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MATRIZ DE RISCO</w:t>
      </w:r>
    </w:p>
    <w:tbl>
      <w:tblPr>
        <w:tblStyle w:val="29"/>
        <w:tblW w:w="8363" w:type="dxa"/>
        <w:tblInd w:w="29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59"/>
        <w:gridCol w:w="1219"/>
        <w:gridCol w:w="1276"/>
        <w:gridCol w:w="1417"/>
        <w:gridCol w:w="1134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I</w:t>
            </w:r>
          </w:p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M</w:t>
            </w:r>
          </w:p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P</w:t>
            </w:r>
          </w:p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A</w:t>
            </w:r>
          </w:p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C</w:t>
            </w:r>
          </w:p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T</w:t>
            </w:r>
          </w:p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tabs>
                <w:tab w:val="left" w:pos="979"/>
              </w:tabs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  <w:t>Muito Alto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1219" w:type="dxa"/>
            <w:shd w:val="clear" w:color="auto" w:fill="B2A1C7" w:themeFill="accent4" w:themeFillTint="99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Médio</w:t>
            </w:r>
          </w:p>
        </w:tc>
        <w:tc>
          <w:tcPr>
            <w:tcW w:w="1276" w:type="dxa"/>
            <w:shd w:val="clear" w:color="auto" w:fill="FF000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Alto</w:t>
            </w:r>
          </w:p>
        </w:tc>
        <w:tc>
          <w:tcPr>
            <w:tcW w:w="1417" w:type="dxa"/>
            <w:shd w:val="clear" w:color="auto" w:fill="FF000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Alto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Alto</w:t>
            </w:r>
          </w:p>
        </w:tc>
        <w:tc>
          <w:tcPr>
            <w:tcW w:w="1191" w:type="dxa"/>
            <w:shd w:val="clear" w:color="auto" w:fill="FF000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Alto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left w:val="nil"/>
            </w:tcBorders>
          </w:tcPr>
          <w:p>
            <w:pPr>
              <w:tabs>
                <w:tab w:val="left" w:pos="979"/>
              </w:tabs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tabs>
                <w:tab w:val="left" w:pos="979"/>
              </w:tabs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  <w:t>Alto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1219" w:type="dxa"/>
            <w:shd w:val="clear" w:color="auto" w:fill="B2A1C7" w:themeFill="accent4" w:themeFillTint="99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Médio</w:t>
            </w:r>
          </w:p>
        </w:tc>
        <w:tc>
          <w:tcPr>
            <w:tcW w:w="1276" w:type="dxa"/>
            <w:shd w:val="clear" w:color="auto" w:fill="B2A1C7" w:themeFill="accent4" w:themeFillTint="99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Médio</w:t>
            </w:r>
          </w:p>
        </w:tc>
        <w:tc>
          <w:tcPr>
            <w:tcW w:w="1417" w:type="dxa"/>
            <w:shd w:val="clear" w:color="auto" w:fill="FF000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Alto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Alto</w:t>
            </w:r>
          </w:p>
        </w:tc>
        <w:tc>
          <w:tcPr>
            <w:tcW w:w="1191" w:type="dxa"/>
            <w:shd w:val="clear" w:color="auto" w:fill="FF000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Alto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left w:val="nil"/>
            </w:tcBorders>
          </w:tcPr>
          <w:p>
            <w:pPr>
              <w:tabs>
                <w:tab w:val="left" w:pos="979"/>
              </w:tabs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tabs>
                <w:tab w:val="left" w:pos="979"/>
              </w:tabs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  <w:t>Médio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1219" w:type="dxa"/>
            <w:shd w:val="clear" w:color="auto" w:fill="00B05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Baixo</w:t>
            </w:r>
          </w:p>
        </w:tc>
        <w:tc>
          <w:tcPr>
            <w:tcW w:w="1276" w:type="dxa"/>
            <w:shd w:val="clear" w:color="auto" w:fill="B2A1C7" w:themeFill="accent4" w:themeFillTint="99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Médio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Médio</w:t>
            </w:r>
          </w:p>
        </w:tc>
        <w:tc>
          <w:tcPr>
            <w:tcW w:w="1134" w:type="dxa"/>
            <w:shd w:val="clear" w:color="auto" w:fill="FF000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Alto</w:t>
            </w:r>
          </w:p>
        </w:tc>
        <w:tc>
          <w:tcPr>
            <w:tcW w:w="1191" w:type="dxa"/>
            <w:shd w:val="clear" w:color="auto" w:fill="FF000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Alto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left w:val="nil"/>
            </w:tcBorders>
          </w:tcPr>
          <w:p>
            <w:pPr>
              <w:tabs>
                <w:tab w:val="left" w:pos="979"/>
              </w:tabs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tabs>
                <w:tab w:val="left" w:pos="979"/>
              </w:tabs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  <w:t>Baixo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219" w:type="dxa"/>
            <w:shd w:val="clear" w:color="auto" w:fill="00B05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Baixo</w:t>
            </w:r>
          </w:p>
        </w:tc>
        <w:tc>
          <w:tcPr>
            <w:tcW w:w="1276" w:type="dxa"/>
            <w:shd w:val="clear" w:color="auto" w:fill="B2A1C7" w:themeFill="accent4" w:themeFillTint="99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Médio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Médio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Médio</w:t>
            </w:r>
          </w:p>
        </w:tc>
        <w:tc>
          <w:tcPr>
            <w:tcW w:w="1191" w:type="dxa"/>
            <w:shd w:val="clear" w:color="auto" w:fill="FF000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Alto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  <w:tcBorders>
              <w:left w:val="nil"/>
              <w:bottom w:val="nil"/>
            </w:tcBorders>
          </w:tcPr>
          <w:p>
            <w:pPr>
              <w:tabs>
                <w:tab w:val="left" w:pos="979"/>
              </w:tabs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tabs>
                <w:tab w:val="left" w:pos="979"/>
              </w:tabs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  <w:t>Muito baixo</w:t>
            </w: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219" w:type="dxa"/>
            <w:shd w:val="clear" w:color="auto" w:fill="00B05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Baixo</w:t>
            </w:r>
          </w:p>
        </w:tc>
        <w:tc>
          <w:tcPr>
            <w:tcW w:w="1276" w:type="dxa"/>
            <w:shd w:val="clear" w:color="auto" w:fill="00B05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Baixo</w:t>
            </w:r>
          </w:p>
        </w:tc>
        <w:tc>
          <w:tcPr>
            <w:tcW w:w="1417" w:type="dxa"/>
            <w:shd w:val="clear" w:color="auto" w:fill="00B050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Baixo</w:t>
            </w:r>
          </w:p>
        </w:tc>
        <w:tc>
          <w:tcPr>
            <w:tcW w:w="1134" w:type="dxa"/>
            <w:shd w:val="clear" w:color="auto" w:fill="B2A1C7" w:themeFill="accent4" w:themeFillTint="99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Médio</w:t>
            </w:r>
          </w:p>
        </w:tc>
        <w:tc>
          <w:tcPr>
            <w:tcW w:w="1191" w:type="dxa"/>
            <w:shd w:val="clear" w:color="auto" w:fill="B2A1C7" w:themeFill="accent4" w:themeFillTint="99"/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sz w:val="16"/>
                <w:szCs w:val="16"/>
              </w:rPr>
              <w:t>Médio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nil"/>
              <w:right w:val="nil"/>
            </w:tcBorders>
          </w:tcPr>
          <w:p>
            <w:pPr>
              <w:tabs>
                <w:tab w:val="left" w:pos="979"/>
              </w:tabs>
              <w:spacing w:after="6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  <w:t>1</w:t>
            </w:r>
          </w:p>
          <w:p>
            <w:pPr>
              <w:tabs>
                <w:tab w:val="left" w:pos="979"/>
              </w:tabs>
              <w:spacing w:after="60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  <w:t>Raro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>
            <w:pPr>
              <w:tabs>
                <w:tab w:val="left" w:pos="979"/>
              </w:tabs>
              <w:spacing w:after="6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  <w:t>2</w:t>
            </w:r>
          </w:p>
          <w:p>
            <w:pPr>
              <w:tabs>
                <w:tab w:val="left" w:pos="979"/>
              </w:tabs>
              <w:spacing w:after="60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  <w:t>Pouco Provável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>
            <w:pPr>
              <w:tabs>
                <w:tab w:val="left" w:pos="979"/>
              </w:tabs>
              <w:spacing w:after="6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  <w:t>3</w:t>
            </w:r>
          </w:p>
          <w:p>
            <w:pPr>
              <w:tabs>
                <w:tab w:val="left" w:pos="979"/>
              </w:tabs>
              <w:spacing w:after="60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  <w:t>Provável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>
            <w:pPr>
              <w:tabs>
                <w:tab w:val="left" w:pos="979"/>
              </w:tabs>
              <w:spacing w:after="6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  <w:t>4</w:t>
            </w:r>
          </w:p>
          <w:p>
            <w:pPr>
              <w:tabs>
                <w:tab w:val="left" w:pos="979"/>
              </w:tabs>
              <w:spacing w:after="60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  <w:t>Muito Provável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>
            <w:pPr>
              <w:tabs>
                <w:tab w:val="left" w:pos="979"/>
              </w:tabs>
              <w:spacing w:after="60"/>
              <w:jc w:val="center"/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b/>
                <w:bCs/>
                <w:sz w:val="16"/>
                <w:szCs w:val="16"/>
              </w:rPr>
              <w:t>5</w:t>
            </w:r>
          </w:p>
          <w:p>
            <w:pPr>
              <w:tabs>
                <w:tab w:val="left" w:pos="979"/>
              </w:tabs>
              <w:spacing w:after="60"/>
              <w:jc w:val="center"/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eastAsia="Times New Roman" w:cs="Arial"/>
                <w:b/>
                <w:bCs/>
                <w:sz w:val="14"/>
                <w:szCs w:val="14"/>
              </w:rPr>
              <w:t>Praticamente certo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979"/>
              </w:tabs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tabs>
                <w:tab w:val="left" w:pos="979"/>
              </w:tabs>
              <w:spacing w:before="60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  <w:t>PROBABILIDADE</w:t>
            </w:r>
          </w:p>
        </w:tc>
      </w:tr>
    </w:tbl>
    <w:p>
      <w:pPr>
        <w:tabs>
          <w:tab w:val="left" w:pos="979"/>
        </w:tabs>
        <w:rPr>
          <w:rFonts w:ascii="Arial" w:hAnsi="Arial" w:cs="Arial"/>
          <w:sz w:val="20"/>
          <w:szCs w:val="20"/>
        </w:rPr>
        <w:sectPr>
          <w:pgSz w:w="16838" w:h="11906" w:orient="landscape"/>
          <w:pgMar w:top="1134" w:right="1134" w:bottom="1134" w:left="1134" w:header="709" w:footer="709" w:gutter="0"/>
          <w:cols w:space="708" w:num="1"/>
          <w:docGrid w:linePitch="360" w:charSpace="0"/>
        </w:sect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Responsável pela Elaboração</w:t>
      </w:r>
      <w:r>
        <w:rPr>
          <w:rFonts w:ascii="Arial" w:hAnsi="Arial" w:cs="Arial"/>
          <w:sz w:val="18"/>
          <w:szCs w:val="18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Revisão: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Data da Elaboração</w:t>
      </w:r>
      <w:r>
        <w:rPr>
          <w:rFonts w:ascii="Arial" w:hAnsi="Arial" w:cs="Arial"/>
          <w:sz w:val="18"/>
          <w:szCs w:val="18"/>
        </w:rPr>
        <w:t xml:space="preserve">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tabs>
          <w:tab w:val="left" w:pos="979"/>
        </w:tabs>
        <w:rPr>
          <w:rFonts w:ascii="Arial" w:hAnsi="Arial" w:cs="Arial"/>
          <w:sz w:val="20"/>
          <w:szCs w:val="20"/>
        </w:rPr>
      </w:pPr>
    </w:p>
    <w:p>
      <w:pPr>
        <w:spacing w:after="0" w:line="360" w:lineRule="auto"/>
        <w:jc w:val="both"/>
        <w:rPr>
          <w:rFonts w:ascii="Arial" w:hAnsi="Arial" w:cs="Arial"/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7" w:h="16839"/>
      <w:pgMar w:top="1418" w:right="1134" w:bottom="1134" w:left="1418" w:header="850" w:footer="51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pranq eco sans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jc w:val="center"/>
      <w:rPr>
        <w:color w:val="808080"/>
        <w:sz w:val="16"/>
      </w:rPr>
    </w:pPr>
    <w:r>
      <w:rPr>
        <w:color w:val="808080"/>
        <w:sz w:val="16"/>
      </w:rPr>
      <w:t>Universidade Estadual de Ponta Grossa - UEPG</w:t>
    </w:r>
  </w:p>
  <w:p>
    <w:pPr>
      <w:pStyle w:val="9"/>
      <w:pBdr>
        <w:top w:val="single" w:color="auto" w:sz="6" w:space="1"/>
      </w:pBdr>
      <w:jc w:val="center"/>
      <w:rPr>
        <w:color w:val="808080"/>
        <w:sz w:val="16"/>
      </w:rPr>
    </w:pPr>
    <w:r>
      <w:rPr>
        <w:color w:val="808080"/>
        <w:sz w:val="16"/>
      </w:rPr>
      <w:t xml:space="preserve">Av. General Carlos Cavalcanti, 4748 - CEP 84030-900 - Ponta Grossa/PR - Fone:(42)3220-3000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jc w:val="center"/>
      <w:rPr>
        <w:color w:val="808080"/>
        <w:sz w:val="16"/>
      </w:rPr>
    </w:pPr>
    <w:r>
      <w:rPr>
        <w:color w:val="808080"/>
        <w:sz w:val="16"/>
      </w:rPr>
      <w:t>Universidade Estadual de Ponta Grossa - UEPG</w:t>
    </w:r>
  </w:p>
  <w:p>
    <w:pPr>
      <w:pStyle w:val="9"/>
      <w:pBdr>
        <w:top w:val="single" w:color="auto" w:sz="6" w:space="1"/>
      </w:pBdr>
      <w:jc w:val="center"/>
      <w:rPr>
        <w:color w:val="808080"/>
        <w:sz w:val="16"/>
      </w:rPr>
    </w:pPr>
    <w:r>
      <w:rPr>
        <w:color w:val="808080"/>
        <w:sz w:val="16"/>
      </w:rPr>
      <w:t xml:space="preserve">Av. General Carlos Cavalcanti, 4748 - CEP 84030-900 - Ponta Grossa/PR - Fone:(42)3220-3000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6" w:space="1"/>
      </w:pBdr>
      <w:jc w:val="center"/>
      <w:rPr>
        <w:color w:val="808080"/>
        <w:sz w:val="16"/>
      </w:rPr>
    </w:pPr>
    <w:r>
      <w:rPr>
        <w:color w:val="808080"/>
        <w:sz w:val="16"/>
      </w:rPr>
      <w:t>Universidade Estadual de Ponta Grossa - UEPG</w:t>
    </w:r>
  </w:p>
  <w:p>
    <w:pPr>
      <w:pStyle w:val="9"/>
      <w:pBdr>
        <w:top w:val="single" w:color="auto" w:sz="6" w:space="1"/>
      </w:pBdr>
      <w:jc w:val="center"/>
      <w:rPr>
        <w:color w:val="808080"/>
        <w:sz w:val="16"/>
      </w:rPr>
    </w:pPr>
    <w:r>
      <w:rPr>
        <w:color w:val="808080"/>
        <w:sz w:val="16"/>
      </w:rPr>
      <w:t xml:space="preserve">Av. General Carlos Cavalcanti, 4748 - CEP 84030-900 - Ponta Grossa/PR - Fone:(42)3220-3000 </w:t>
    </w:r>
  </w:p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1"/>
      </w:pPr>
      <w:r>
        <w:rPr>
          <w:rStyle w:val="4"/>
        </w:rPr>
        <w:footnoteRef/>
      </w:r>
      <w:r>
        <w:t xml:space="preserve"> As notas explicativas são meramente orientativas e devem ser retiradas do ETP ao enviar ao setor de Compras. </w:t>
      </w:r>
    </w:p>
  </w:footnote>
  <w:footnote w:id="1">
    <w:p>
      <w:pPr>
        <w:pStyle w:val="11"/>
      </w:pPr>
      <w:r>
        <w:rPr>
          <w:rStyle w:val="4"/>
        </w:rPr>
        <w:footnoteRef/>
      </w:r>
      <w:r>
        <w:t xml:space="preserve"> Fato superveniente é um fato não previsível ou previsível de conseqüências incalculáveis.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9639"/>
        <w:tab w:val="clear" w:pos="9360"/>
      </w:tabs>
      <w:rPr>
        <w:rFonts w:ascii="Arial" w:hAnsi="Arial"/>
        <w:b/>
        <w:color w:val="808080"/>
        <w:sz w:val="14"/>
        <w:szCs w:val="28"/>
      </w:rPr>
    </w:pPr>
    <w:r>
      <w:rPr>
        <w:rFonts w:ascii="Arial" w:hAnsi="Arial"/>
        <w:b/>
        <w:color w:val="808080"/>
        <w:sz w:val="14"/>
        <w:szCs w:val="28"/>
        <w:lang w:eastAsia="pt-BR"/>
      </w:rPr>
      <w:t xml:space="preserve">                                               </w:t>
    </w:r>
  </w:p>
  <w:p>
    <w:pPr>
      <w:pStyle w:val="8"/>
      <w:tabs>
        <w:tab w:val="right" w:pos="9639"/>
        <w:tab w:val="clear" w:pos="9360"/>
      </w:tabs>
      <w:rPr>
        <w:rFonts w:ascii="Arial" w:hAnsi="Arial"/>
        <w:b/>
        <w:color w:val="808080"/>
        <w:sz w:val="14"/>
        <w:szCs w:val="28"/>
      </w:rPr>
    </w:pPr>
  </w:p>
  <w:p>
    <w:pPr>
      <w:pStyle w:val="8"/>
      <w:tabs>
        <w:tab w:val="clear" w:pos="46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9639"/>
        <w:tab w:val="clear" w:pos="4680"/>
        <w:tab w:val="clear" w:pos="9360"/>
      </w:tabs>
    </w:pPr>
    <w:r>
      <w:rPr>
        <w:lang w:eastAsia="pt-BR"/>
      </w:rPr>
      <w:drawing>
        <wp:inline distT="0" distB="0" distL="0" distR="0">
          <wp:extent cx="1483995" cy="871220"/>
          <wp:effectExtent l="19050" t="0" r="1414" b="0"/>
          <wp:docPr id="6" name="Imagem 4" descr="Logo duas cores_fundo transparente_frase abaix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4" descr="Logo duas cores_fundo transparente_frase abaix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853" cy="87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9639"/>
        <w:tab w:val="clear" w:pos="9360"/>
      </w:tabs>
      <w:rPr>
        <w:rFonts w:ascii="Arial" w:hAnsi="Arial"/>
        <w:b/>
        <w:color w:val="808080"/>
        <w:sz w:val="14"/>
        <w:szCs w:val="28"/>
      </w:rPr>
    </w:pPr>
    <w:r>
      <w:rPr>
        <w:rFonts w:ascii="Arial" w:hAnsi="Arial"/>
        <w:b/>
        <w:color w:val="808080"/>
        <w:sz w:val="14"/>
        <w:szCs w:val="28"/>
        <w:lang w:eastAsia="pt-BR"/>
      </w:rPr>
      <w:drawing>
        <wp:inline distT="0" distB="0" distL="0" distR="0">
          <wp:extent cx="2950210" cy="621030"/>
          <wp:effectExtent l="19050" t="0" r="2540" b="0"/>
          <wp:docPr id="3" name="Imagem 1" descr="Logo duas cores_fundo transparente_ frase lat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Logo duas cores_fundo transparente_ frase later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021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color w:val="808080"/>
        <w:sz w:val="14"/>
        <w:szCs w:val="28"/>
        <w:lang w:eastAsia="pt-BR"/>
      </w:rPr>
      <w:t xml:space="preserve">                                               </w:t>
    </w:r>
  </w:p>
  <w:p>
    <w:pPr>
      <w:pStyle w:val="8"/>
      <w:tabs>
        <w:tab w:val="right" w:pos="9639"/>
        <w:tab w:val="clear" w:pos="9360"/>
      </w:tabs>
      <w:rPr>
        <w:rFonts w:ascii="Arial" w:hAnsi="Arial"/>
        <w:b/>
        <w:color w:val="808080"/>
        <w:sz w:val="14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842D0"/>
    <w:multiLevelType w:val="multilevel"/>
    <w:tmpl w:val="1EF842D0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627C"/>
    <w:multiLevelType w:val="multilevel"/>
    <w:tmpl w:val="236A627C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6E165A2"/>
    <w:multiLevelType w:val="multilevel"/>
    <w:tmpl w:val="76E165A2"/>
    <w:lvl w:ilvl="0" w:tentative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 w:tentative="0">
      <w:start w:val="1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F3"/>
    <w:rsid w:val="000033F1"/>
    <w:rsid w:val="000179C0"/>
    <w:rsid w:val="00026065"/>
    <w:rsid w:val="0003596E"/>
    <w:rsid w:val="00054DF6"/>
    <w:rsid w:val="00055D7F"/>
    <w:rsid w:val="00060E75"/>
    <w:rsid w:val="0006792D"/>
    <w:rsid w:val="000803E4"/>
    <w:rsid w:val="00084337"/>
    <w:rsid w:val="000864B2"/>
    <w:rsid w:val="00087D6A"/>
    <w:rsid w:val="000936A9"/>
    <w:rsid w:val="0009608A"/>
    <w:rsid w:val="000A6A1C"/>
    <w:rsid w:val="000C6DFE"/>
    <w:rsid w:val="000D02F7"/>
    <w:rsid w:val="000D14EA"/>
    <w:rsid w:val="000D15BD"/>
    <w:rsid w:val="000E48FD"/>
    <w:rsid w:val="000F0B32"/>
    <w:rsid w:val="00104D1A"/>
    <w:rsid w:val="00105384"/>
    <w:rsid w:val="00123830"/>
    <w:rsid w:val="001260A0"/>
    <w:rsid w:val="00154EA8"/>
    <w:rsid w:val="001556AB"/>
    <w:rsid w:val="00156059"/>
    <w:rsid w:val="00156157"/>
    <w:rsid w:val="0016170B"/>
    <w:rsid w:val="00167A88"/>
    <w:rsid w:val="001770EF"/>
    <w:rsid w:val="0019628B"/>
    <w:rsid w:val="001A1D95"/>
    <w:rsid w:val="001B08AA"/>
    <w:rsid w:val="001C1426"/>
    <w:rsid w:val="001C534C"/>
    <w:rsid w:val="001D1CE4"/>
    <w:rsid w:val="001D6FB5"/>
    <w:rsid w:val="001F1DD0"/>
    <w:rsid w:val="0022434D"/>
    <w:rsid w:val="00234D73"/>
    <w:rsid w:val="00246DDF"/>
    <w:rsid w:val="002574C4"/>
    <w:rsid w:val="002617E2"/>
    <w:rsid w:val="002737DF"/>
    <w:rsid w:val="002A1DDD"/>
    <w:rsid w:val="002C5E36"/>
    <w:rsid w:val="002C6E64"/>
    <w:rsid w:val="002D5D8E"/>
    <w:rsid w:val="002E0862"/>
    <w:rsid w:val="002F1EF8"/>
    <w:rsid w:val="00317712"/>
    <w:rsid w:val="00333015"/>
    <w:rsid w:val="00341B46"/>
    <w:rsid w:val="00355758"/>
    <w:rsid w:val="00374083"/>
    <w:rsid w:val="003767B3"/>
    <w:rsid w:val="0038601E"/>
    <w:rsid w:val="0039450A"/>
    <w:rsid w:val="00395A09"/>
    <w:rsid w:val="003A467C"/>
    <w:rsid w:val="003B233A"/>
    <w:rsid w:val="003B5EB6"/>
    <w:rsid w:val="003D6898"/>
    <w:rsid w:val="003F0B43"/>
    <w:rsid w:val="003F36FD"/>
    <w:rsid w:val="0042557C"/>
    <w:rsid w:val="004344A9"/>
    <w:rsid w:val="00436890"/>
    <w:rsid w:val="00440BA1"/>
    <w:rsid w:val="004517DF"/>
    <w:rsid w:val="0045203D"/>
    <w:rsid w:val="00461AD5"/>
    <w:rsid w:val="00464ADB"/>
    <w:rsid w:val="00471655"/>
    <w:rsid w:val="00474D37"/>
    <w:rsid w:val="00477F96"/>
    <w:rsid w:val="004824A7"/>
    <w:rsid w:val="0048709A"/>
    <w:rsid w:val="00490E16"/>
    <w:rsid w:val="004A6471"/>
    <w:rsid w:val="004B1E1E"/>
    <w:rsid w:val="004B4EBE"/>
    <w:rsid w:val="004D160A"/>
    <w:rsid w:val="004D62E7"/>
    <w:rsid w:val="00511C31"/>
    <w:rsid w:val="005121AA"/>
    <w:rsid w:val="00513155"/>
    <w:rsid w:val="005302AE"/>
    <w:rsid w:val="0054315C"/>
    <w:rsid w:val="005726B5"/>
    <w:rsid w:val="005A4EBA"/>
    <w:rsid w:val="005D6020"/>
    <w:rsid w:val="005E41AC"/>
    <w:rsid w:val="005F0F3B"/>
    <w:rsid w:val="00604EAE"/>
    <w:rsid w:val="006112E6"/>
    <w:rsid w:val="00613A08"/>
    <w:rsid w:val="00636C65"/>
    <w:rsid w:val="00662215"/>
    <w:rsid w:val="006676FC"/>
    <w:rsid w:val="006812AE"/>
    <w:rsid w:val="00684AEC"/>
    <w:rsid w:val="00692D2A"/>
    <w:rsid w:val="00694179"/>
    <w:rsid w:val="00696D9D"/>
    <w:rsid w:val="006A2D15"/>
    <w:rsid w:val="006C112F"/>
    <w:rsid w:val="006D7929"/>
    <w:rsid w:val="006F6271"/>
    <w:rsid w:val="006F6707"/>
    <w:rsid w:val="007140D9"/>
    <w:rsid w:val="00723035"/>
    <w:rsid w:val="007278A0"/>
    <w:rsid w:val="00735FD5"/>
    <w:rsid w:val="00736DCB"/>
    <w:rsid w:val="00740AC2"/>
    <w:rsid w:val="007643C3"/>
    <w:rsid w:val="00795C6F"/>
    <w:rsid w:val="007A3EB8"/>
    <w:rsid w:val="007A6AFA"/>
    <w:rsid w:val="007A730B"/>
    <w:rsid w:val="007B04CB"/>
    <w:rsid w:val="007C4DED"/>
    <w:rsid w:val="007D0868"/>
    <w:rsid w:val="007D330C"/>
    <w:rsid w:val="007D776A"/>
    <w:rsid w:val="007E7163"/>
    <w:rsid w:val="008027BF"/>
    <w:rsid w:val="008106B2"/>
    <w:rsid w:val="00812E9B"/>
    <w:rsid w:val="00831556"/>
    <w:rsid w:val="00840286"/>
    <w:rsid w:val="0084223A"/>
    <w:rsid w:val="00843F2A"/>
    <w:rsid w:val="008440E6"/>
    <w:rsid w:val="008479BA"/>
    <w:rsid w:val="00862E6C"/>
    <w:rsid w:val="00866A8F"/>
    <w:rsid w:val="00866C08"/>
    <w:rsid w:val="00866DA4"/>
    <w:rsid w:val="00882FD7"/>
    <w:rsid w:val="00884DB0"/>
    <w:rsid w:val="008862EA"/>
    <w:rsid w:val="00891C09"/>
    <w:rsid w:val="008932F4"/>
    <w:rsid w:val="008A2CC6"/>
    <w:rsid w:val="008C13CD"/>
    <w:rsid w:val="008C4A90"/>
    <w:rsid w:val="008E62E1"/>
    <w:rsid w:val="008E7D71"/>
    <w:rsid w:val="008F4EF6"/>
    <w:rsid w:val="009015B0"/>
    <w:rsid w:val="00905E39"/>
    <w:rsid w:val="009261C5"/>
    <w:rsid w:val="00991162"/>
    <w:rsid w:val="0099321B"/>
    <w:rsid w:val="009A053B"/>
    <w:rsid w:val="009A0909"/>
    <w:rsid w:val="009A34AE"/>
    <w:rsid w:val="009A7286"/>
    <w:rsid w:val="009C48DB"/>
    <w:rsid w:val="009C6BEC"/>
    <w:rsid w:val="009D6F2A"/>
    <w:rsid w:val="009E020E"/>
    <w:rsid w:val="009E484A"/>
    <w:rsid w:val="009F13E2"/>
    <w:rsid w:val="00A110DC"/>
    <w:rsid w:val="00A260E2"/>
    <w:rsid w:val="00A40AA3"/>
    <w:rsid w:val="00A41371"/>
    <w:rsid w:val="00A473AC"/>
    <w:rsid w:val="00A51A58"/>
    <w:rsid w:val="00A87D3F"/>
    <w:rsid w:val="00AA098D"/>
    <w:rsid w:val="00AA156C"/>
    <w:rsid w:val="00AA5765"/>
    <w:rsid w:val="00AC2176"/>
    <w:rsid w:val="00AC3F6B"/>
    <w:rsid w:val="00AC6184"/>
    <w:rsid w:val="00AE4078"/>
    <w:rsid w:val="00AF0872"/>
    <w:rsid w:val="00B14CC1"/>
    <w:rsid w:val="00B155FA"/>
    <w:rsid w:val="00B2234A"/>
    <w:rsid w:val="00B40069"/>
    <w:rsid w:val="00B47EBA"/>
    <w:rsid w:val="00B80A4F"/>
    <w:rsid w:val="00B822C7"/>
    <w:rsid w:val="00BA0443"/>
    <w:rsid w:val="00BA2BCC"/>
    <w:rsid w:val="00BA553B"/>
    <w:rsid w:val="00BC38A4"/>
    <w:rsid w:val="00BD0780"/>
    <w:rsid w:val="00BD7755"/>
    <w:rsid w:val="00BE6924"/>
    <w:rsid w:val="00C121BD"/>
    <w:rsid w:val="00C17452"/>
    <w:rsid w:val="00C17902"/>
    <w:rsid w:val="00C22B01"/>
    <w:rsid w:val="00C27F68"/>
    <w:rsid w:val="00C53353"/>
    <w:rsid w:val="00C70AF7"/>
    <w:rsid w:val="00C8204C"/>
    <w:rsid w:val="00C93616"/>
    <w:rsid w:val="00C94011"/>
    <w:rsid w:val="00CA00C6"/>
    <w:rsid w:val="00CB2BED"/>
    <w:rsid w:val="00CB6467"/>
    <w:rsid w:val="00CC2DDC"/>
    <w:rsid w:val="00CC439C"/>
    <w:rsid w:val="00CC44A5"/>
    <w:rsid w:val="00CC60BF"/>
    <w:rsid w:val="00CD354C"/>
    <w:rsid w:val="00CD7949"/>
    <w:rsid w:val="00CE579F"/>
    <w:rsid w:val="00CF2440"/>
    <w:rsid w:val="00CF2ECD"/>
    <w:rsid w:val="00CF51F3"/>
    <w:rsid w:val="00D04834"/>
    <w:rsid w:val="00D059E0"/>
    <w:rsid w:val="00D14561"/>
    <w:rsid w:val="00D22D6B"/>
    <w:rsid w:val="00D231EF"/>
    <w:rsid w:val="00D36D8C"/>
    <w:rsid w:val="00D420FA"/>
    <w:rsid w:val="00D43315"/>
    <w:rsid w:val="00D644A1"/>
    <w:rsid w:val="00DA57BC"/>
    <w:rsid w:val="00DD384C"/>
    <w:rsid w:val="00DD4F8B"/>
    <w:rsid w:val="00DE74BD"/>
    <w:rsid w:val="00DE79AA"/>
    <w:rsid w:val="00DF0FFB"/>
    <w:rsid w:val="00DF22A0"/>
    <w:rsid w:val="00DF3068"/>
    <w:rsid w:val="00E070B6"/>
    <w:rsid w:val="00E31B46"/>
    <w:rsid w:val="00E51786"/>
    <w:rsid w:val="00E54143"/>
    <w:rsid w:val="00E5792B"/>
    <w:rsid w:val="00E61C99"/>
    <w:rsid w:val="00E84E42"/>
    <w:rsid w:val="00E858F0"/>
    <w:rsid w:val="00E94529"/>
    <w:rsid w:val="00EA052C"/>
    <w:rsid w:val="00EB16C0"/>
    <w:rsid w:val="00EB1B0E"/>
    <w:rsid w:val="00EB1EFB"/>
    <w:rsid w:val="00EC61FC"/>
    <w:rsid w:val="00EC6CEE"/>
    <w:rsid w:val="00ED56A7"/>
    <w:rsid w:val="00EE513D"/>
    <w:rsid w:val="00EF4B5D"/>
    <w:rsid w:val="00EF67E7"/>
    <w:rsid w:val="00EF6828"/>
    <w:rsid w:val="00F1241F"/>
    <w:rsid w:val="00F22F86"/>
    <w:rsid w:val="00F35223"/>
    <w:rsid w:val="00F4267A"/>
    <w:rsid w:val="00F4432F"/>
    <w:rsid w:val="00F44678"/>
    <w:rsid w:val="00F51D2B"/>
    <w:rsid w:val="00F54538"/>
    <w:rsid w:val="00F604F2"/>
    <w:rsid w:val="00F6373E"/>
    <w:rsid w:val="00F64C18"/>
    <w:rsid w:val="00F65B6D"/>
    <w:rsid w:val="00F76A6F"/>
    <w:rsid w:val="00F851BA"/>
    <w:rsid w:val="00F86334"/>
    <w:rsid w:val="00F960C4"/>
    <w:rsid w:val="00FB2230"/>
    <w:rsid w:val="00FB4428"/>
    <w:rsid w:val="00FB72A4"/>
    <w:rsid w:val="00FC7253"/>
    <w:rsid w:val="00FD6C8D"/>
    <w:rsid w:val="00FE0B47"/>
    <w:rsid w:val="231434BF"/>
    <w:rsid w:val="5B003D49"/>
    <w:rsid w:val="7C6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  <w:textAlignment w:val="baseline"/>
    </w:pPr>
    <w:rPr>
      <w:rFonts w:ascii="Calibri" w:hAnsi="Calibri" w:eastAsia="Calibri" w:cs="Calibri"/>
      <w:kern w:val="1"/>
      <w:sz w:val="22"/>
      <w:szCs w:val="22"/>
      <w:lang w:val="pt-BR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7">
    <w:name w:val="Body Text 2"/>
    <w:basedOn w:val="1"/>
    <w:link w:val="19"/>
    <w:qFormat/>
    <w:uiPriority w:val="0"/>
    <w:pPr>
      <w:spacing w:after="0" w:line="240" w:lineRule="auto"/>
      <w:jc w:val="both"/>
    </w:pPr>
    <w:rPr>
      <w:rFonts w:ascii="Arial Narrow" w:hAnsi="Arial Narrow" w:eastAsia="Times New Roman"/>
      <w:color w:val="000080"/>
      <w:sz w:val="28"/>
      <w:szCs w:val="20"/>
      <w:lang w:eastAsia="pt-BR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note text"/>
    <w:basedOn w:val="1"/>
    <w:link w:val="25"/>
    <w:semiHidden/>
    <w:unhideWhenUsed/>
    <w:uiPriority w:val="99"/>
    <w:pPr>
      <w:spacing w:after="0" w:line="240" w:lineRule="auto"/>
    </w:pPr>
    <w:rPr>
      <w:sz w:val="20"/>
      <w:szCs w:val="20"/>
    </w:rPr>
  </w:style>
  <w:style w:type="table" w:styleId="12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2"/>
    <w:link w:val="8"/>
    <w:uiPriority w:val="99"/>
    <w:rPr>
      <w:lang w:val="pt-BR"/>
    </w:rPr>
  </w:style>
  <w:style w:type="character" w:customStyle="1" w:styleId="14">
    <w:name w:val="Rodapé Char"/>
    <w:basedOn w:val="2"/>
    <w:link w:val="9"/>
    <w:uiPriority w:val="99"/>
    <w:rPr>
      <w:lang w:val="pt-BR"/>
    </w:rPr>
  </w:style>
  <w:style w:type="paragraph" w:customStyle="1" w:styleId="15">
    <w:name w:val="NoSpellcheck"/>
    <w:uiPriority w:val="0"/>
    <w:rPr>
      <w:rFonts w:ascii="Arial" w:hAnsi="Arial" w:eastAsia="Times New Roman" w:cs="Times New Roman"/>
      <w:sz w:val="12"/>
      <w:lang w:val="en-GB" w:eastAsia="en-US" w:bidi="ar-SA"/>
    </w:rPr>
  </w:style>
  <w:style w:type="character" w:customStyle="1" w:styleId="16">
    <w:name w:val="Texto de balão Char"/>
    <w:basedOn w:val="2"/>
    <w:link w:val="10"/>
    <w:semiHidden/>
    <w:uiPriority w:val="99"/>
    <w:rPr>
      <w:rFonts w:ascii="Tahoma" w:hAnsi="Tahoma" w:cs="Tahoma"/>
      <w:sz w:val="16"/>
      <w:szCs w:val="16"/>
      <w:lang w:val="pt-BR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TableStyle"/>
    <w:uiPriority w:val="0"/>
    <w:pPr>
      <w:ind w:left="85"/>
    </w:pPr>
    <w:rPr>
      <w:rFonts w:ascii="Arial" w:hAnsi="Arial" w:eastAsia="Times New Roman" w:cs="Times New Roman"/>
      <w:sz w:val="22"/>
      <w:lang w:val="en-US" w:eastAsia="en-US" w:bidi="ar-SA"/>
    </w:rPr>
  </w:style>
  <w:style w:type="character" w:customStyle="1" w:styleId="19">
    <w:name w:val="Corpo de texto 2 Char"/>
    <w:basedOn w:val="2"/>
    <w:link w:val="7"/>
    <w:uiPriority w:val="0"/>
    <w:rPr>
      <w:rFonts w:ascii="Arial Narrow" w:hAnsi="Arial Narrow" w:eastAsia="Times New Roman"/>
      <w:color w:val="000080"/>
      <w:sz w:val="28"/>
    </w:rPr>
  </w:style>
  <w:style w:type="table" w:customStyle="1" w:styleId="20">
    <w:name w:val="Sombreamento Claro1"/>
    <w:basedOn w:val="3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21">
    <w:name w:val="Grade Clara1"/>
    <w:basedOn w:val="3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paragraph" w:styleId="22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23">
    <w:name w:val="markedcontent"/>
    <w:basedOn w:val="2"/>
    <w:uiPriority w:val="0"/>
  </w:style>
  <w:style w:type="paragraph" w:customStyle="1" w:styleId="24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pt-BR" w:eastAsia="pt-BR" w:bidi="ar-SA"/>
    </w:rPr>
  </w:style>
  <w:style w:type="character" w:customStyle="1" w:styleId="25">
    <w:name w:val="Texto de nota de rodapé Char"/>
    <w:basedOn w:val="2"/>
    <w:link w:val="11"/>
    <w:semiHidden/>
    <w:qFormat/>
    <w:uiPriority w:val="99"/>
    <w:rPr>
      <w:rFonts w:cs="Calibri"/>
      <w:kern w:val="1"/>
      <w:lang w:eastAsia="zh-CN"/>
    </w:rPr>
  </w:style>
  <w:style w:type="paragraph" w:customStyle="1" w:styleId="26">
    <w:name w:val="Standard"/>
    <w:qFormat/>
    <w:uiPriority w:val="0"/>
    <w:pPr>
      <w:suppressAutoHyphens/>
      <w:autoSpaceDN w:val="0"/>
      <w:spacing w:after="200" w:line="276" w:lineRule="auto"/>
      <w:textAlignment w:val="baseline"/>
    </w:pPr>
    <w:rPr>
      <w:rFonts w:ascii="Spranq eco sans" w:hAnsi="Spranq eco sans" w:eastAsia="Times New Roman" w:cs="Spranq eco sans"/>
      <w:kern w:val="3"/>
      <w:szCs w:val="22"/>
      <w:lang w:val="pt-BR" w:eastAsia="zh-CN" w:bidi="ar-SA"/>
    </w:rPr>
  </w:style>
  <w:style w:type="paragraph" w:customStyle="1" w:styleId="27">
    <w:name w:val="Text body"/>
    <w:basedOn w:val="26"/>
    <w:qFormat/>
    <w:uiPriority w:val="0"/>
    <w:pPr>
      <w:spacing w:after="120"/>
    </w:pPr>
  </w:style>
  <w:style w:type="paragraph" w:customStyle="1" w:styleId="28">
    <w:name w:val="Table Contents"/>
    <w:basedOn w:val="26"/>
    <w:qFormat/>
    <w:uiPriority w:val="0"/>
    <w:pPr>
      <w:suppressLineNumbers/>
    </w:pPr>
  </w:style>
  <w:style w:type="table" w:customStyle="1" w:styleId="29">
    <w:name w:val="Tabela com grade1"/>
    <w:basedOn w:val="3"/>
    <w:qFormat/>
    <w:uiPriority w:val="39"/>
    <w:rPr>
      <w:rFonts w:eastAsia="Times New Roman" w:asciiTheme="minorHAnsi" w:hAnsi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SGQ\Modelos\Modelo%20Formul&#225;rio%20-%20retrato%20-%20nova%20log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7E20-B872-4DCD-896E-F068B2C5D5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Formulário - retrato - nova logo</Template>
  <Company>HRPG</Company>
  <Pages>11</Pages>
  <Words>3470</Words>
  <Characters>18740</Characters>
  <Lines>156</Lines>
  <Paragraphs>44</Paragraphs>
  <TotalTime>150</TotalTime>
  <ScaleCrop>false</ScaleCrop>
  <LinksUpToDate>false</LinksUpToDate>
  <CharactersWithSpaces>22166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2023-03-02T13:33:00Z</dcterms:created>
  <dc:creator>daniele.brasil</dc:creator>
  <cp:lastModifiedBy>cgpedroso</cp:lastModifiedBy>
  <cp:lastPrinted>2022-08-18T15:27:00Z</cp:lastPrinted>
  <dcterms:modified xsi:type="dcterms:W3CDTF">2023-05-16T10:15:42Z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F637D93CBDBB477AB71F6572FE008145</vt:lpwstr>
  </property>
</Properties>
</file>