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0FC2" w14:textId="77777777" w:rsidR="00F51D2B" w:rsidRDefault="007A3EB8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 explicativa</w:t>
      </w:r>
      <w:r>
        <w:rPr>
          <w:rStyle w:val="Refdenotaderodap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: O presente documento caracteriza a primeira etapa da fase de planejamento e apresenta os devidos estudos para a contratação de solução que atenderá à necessidade abaixo especificada. </w:t>
      </w:r>
    </w:p>
    <w:p w14:paraId="6B843C79" w14:textId="77777777" w:rsidR="00F51D2B" w:rsidRDefault="007A3E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4B10D43C" w14:textId="77777777" w:rsidR="00F51D2B" w:rsidRDefault="00F51D2B">
      <w:pPr>
        <w:spacing w:after="60"/>
        <w:jc w:val="center"/>
        <w:rPr>
          <w:rFonts w:ascii="Arial" w:hAnsi="Arial" w:cs="Arial"/>
          <w:b/>
          <w:bCs/>
        </w:rPr>
      </w:pPr>
    </w:p>
    <w:p w14:paraId="5FAAD963" w14:textId="77777777" w:rsidR="00F51D2B" w:rsidRDefault="007A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ESTUDO TÉCNICO PRELIMINAR - ETP</w:t>
      </w:r>
    </w:p>
    <w:p w14:paraId="386291C4" w14:textId="77777777" w:rsidR="00F51D2B" w:rsidRDefault="00F51D2B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7EEE23" w14:textId="22FEDC04" w:rsidR="00F51D2B" w:rsidRDefault="00F5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264B558E" w14:textId="1F8B7955" w:rsidR="00F6373E" w:rsidRDefault="00F6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DEMANDANTE</w:t>
      </w:r>
      <w:r>
        <w:rPr>
          <w:rFonts w:ascii="Arial" w:hAnsi="Arial" w:cs="Arial"/>
          <w:sz w:val="20"/>
          <w:szCs w:val="20"/>
        </w:rPr>
        <w:t xml:space="preserve">: </w:t>
      </w:r>
      <w:r w:rsidRPr="006677AD">
        <w:rPr>
          <w:rFonts w:ascii="Arial" w:hAnsi="Arial" w:cs="Arial"/>
          <w:b/>
          <w:color w:val="FF0000"/>
          <w:sz w:val="20"/>
          <w:szCs w:val="20"/>
        </w:rPr>
        <w:t>(ÓRGÃO REQUISITANTE)</w:t>
      </w:r>
    </w:p>
    <w:p w14:paraId="44BA7E15" w14:textId="77777777" w:rsidR="00F6373E" w:rsidRDefault="00F6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0D996BD" w14:textId="48ED45F6" w:rsidR="00F6373E" w:rsidRDefault="007A3EB8" w:rsidP="00F6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OBJETO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F143C86" w14:textId="77777777" w:rsidR="00F51D2B" w:rsidRDefault="00F51D2B">
      <w:pPr>
        <w:spacing w:after="60"/>
        <w:rPr>
          <w:rFonts w:ascii="Arial" w:hAnsi="Arial" w:cs="Arial"/>
          <w:sz w:val="20"/>
          <w:szCs w:val="20"/>
        </w:rPr>
      </w:pPr>
    </w:p>
    <w:p w14:paraId="6662AE28" w14:textId="77777777" w:rsidR="00F51D2B" w:rsidRDefault="007A3EB8"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Notas: </w:t>
      </w:r>
    </w:p>
    <w:p w14:paraId="72C01E54" w14:textId="77777777" w:rsidR="00F51D2B" w:rsidRDefault="007A3EB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(i) Ver Lei </w:t>
      </w:r>
      <w:hyperlink r:id="rId8" w:anchor="art18" w:history="1">
        <w:r>
          <w:rPr>
            <w:rStyle w:val="Hyperlink"/>
            <w:rFonts w:ascii="Arial" w:hAnsi="Arial" w:cs="Arial"/>
            <w:sz w:val="16"/>
            <w:szCs w:val="16"/>
          </w:rPr>
          <w:t>14.133/2021, art. 18, § 1º a 3º</w:t>
        </w:r>
      </w:hyperlink>
      <w:r>
        <w:rPr>
          <w:rFonts w:ascii="Arial" w:hAnsi="Arial" w:cs="Arial"/>
          <w:sz w:val="16"/>
          <w:szCs w:val="16"/>
        </w:rPr>
        <w:t xml:space="preserve"> | Decreto Estadual </w:t>
      </w:r>
      <w:hyperlink r:id="rId9" w:anchor=":~:text=Estudo%20T%C3%A9cnico%20Preliminar-,Art.%2015.,-Estudo%20T%C3%A9cnico%20Preliminar" w:history="1">
        <w:r>
          <w:rPr>
            <w:rStyle w:val="Hyperlink"/>
            <w:rFonts w:ascii="Arial" w:hAnsi="Arial" w:cs="Arial"/>
            <w:sz w:val="16"/>
            <w:szCs w:val="16"/>
          </w:rPr>
          <w:t>10.086/2022, art.15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4F5868A3" w14:textId="77777777" w:rsidR="00F51D2B" w:rsidRDefault="007A3EB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(</w:t>
      </w:r>
      <w:proofErr w:type="spellStart"/>
      <w:r>
        <w:rPr>
          <w:rFonts w:ascii="Arial" w:hAnsi="Arial" w:cs="Arial"/>
          <w:sz w:val="16"/>
          <w:szCs w:val="16"/>
          <w:highlight w:val="yellow"/>
        </w:rPr>
        <w:t>ii</w:t>
      </w:r>
      <w:proofErr w:type="spellEnd"/>
      <w:r>
        <w:rPr>
          <w:rFonts w:ascii="Arial" w:hAnsi="Arial" w:cs="Arial"/>
          <w:sz w:val="16"/>
          <w:szCs w:val="16"/>
          <w:highlight w:val="yellow"/>
        </w:rPr>
        <w:t xml:space="preserve">) O Estudo Técnico Preliminar deverá conter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ao menos</w:t>
      </w:r>
      <w:r>
        <w:rPr>
          <w:rFonts w:ascii="Arial" w:hAnsi="Arial" w:cs="Arial"/>
          <w:sz w:val="16"/>
          <w:szCs w:val="16"/>
          <w:highlight w:val="yellow"/>
        </w:rPr>
        <w:t xml:space="preserve"> os elementos previstos nos tópicos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1.1, 1.4, 1.6, 1.8 e 1.13</w:t>
      </w:r>
      <w:r>
        <w:rPr>
          <w:rFonts w:ascii="Arial" w:hAnsi="Arial" w:cs="Arial"/>
          <w:sz w:val="16"/>
          <w:szCs w:val="16"/>
          <w:highlight w:val="yellow"/>
        </w:rPr>
        <w:t xml:space="preserve">. Quando não contemplar os demais elementos previstos neste documento, apresentar as devidas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justificativas em cada um dos demais tópicos</w:t>
      </w:r>
      <w:r>
        <w:rPr>
          <w:rFonts w:ascii="Arial" w:hAnsi="Arial" w:cs="Arial"/>
          <w:sz w:val="16"/>
          <w:szCs w:val="16"/>
          <w:highlight w:val="yellow"/>
        </w:rPr>
        <w:t>;</w:t>
      </w:r>
    </w:p>
    <w:p w14:paraId="0DB31341" w14:textId="77777777" w:rsidR="00F51D2B" w:rsidRDefault="007A3EB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iii</w:t>
      </w:r>
      <w:proofErr w:type="spellEnd"/>
      <w:r>
        <w:rPr>
          <w:rFonts w:ascii="Arial" w:hAnsi="Arial" w:cs="Arial"/>
          <w:sz w:val="16"/>
          <w:szCs w:val="16"/>
        </w:rPr>
        <w:t>) Quando o objeto da contratação envolver locação ou comodato, também deverá obrigatoriamente conter o elemento previsto no tópico 5.</w:t>
      </w:r>
    </w:p>
    <w:p w14:paraId="29F65684" w14:textId="77777777" w:rsidR="00F51D2B" w:rsidRDefault="007A3EB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(</w:t>
      </w:r>
      <w:proofErr w:type="spellStart"/>
      <w:r>
        <w:rPr>
          <w:rFonts w:ascii="Arial" w:hAnsi="Arial" w:cs="Arial"/>
          <w:sz w:val="16"/>
          <w:szCs w:val="16"/>
          <w:highlight w:val="yellow"/>
        </w:rPr>
        <w:t>iv</w:t>
      </w:r>
      <w:proofErr w:type="spellEnd"/>
      <w:r>
        <w:rPr>
          <w:rFonts w:ascii="Arial" w:hAnsi="Arial" w:cs="Arial"/>
          <w:sz w:val="16"/>
          <w:szCs w:val="16"/>
          <w:highlight w:val="yellow"/>
        </w:rPr>
        <w:t xml:space="preserve">) Devem ser mantidos todos os tópicos deste documento, 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não </w:t>
      </w:r>
      <w:proofErr w:type="gramStart"/>
      <w:r>
        <w:rPr>
          <w:rFonts w:ascii="Arial" w:hAnsi="Arial" w:cs="Arial"/>
          <w:b/>
          <w:sz w:val="16"/>
          <w:szCs w:val="16"/>
          <w:highlight w:val="yellow"/>
        </w:rPr>
        <w:t>excluir</w:t>
      </w:r>
      <w:r>
        <w:rPr>
          <w:rFonts w:ascii="Arial" w:hAnsi="Arial" w:cs="Arial"/>
          <w:sz w:val="16"/>
          <w:szCs w:val="16"/>
          <w:highlight w:val="yellow"/>
        </w:rPr>
        <w:t>!.</w:t>
      </w:r>
      <w:proofErr w:type="gramEnd"/>
      <w:r>
        <w:rPr>
          <w:rFonts w:ascii="Arial" w:hAnsi="Arial" w:cs="Arial"/>
          <w:sz w:val="16"/>
          <w:szCs w:val="16"/>
        </w:rPr>
        <w:t xml:space="preserve"> Aqueles que não se aplicarem ao objeto devem ser justificados na resposta de cada tópico.</w:t>
      </w:r>
    </w:p>
    <w:p w14:paraId="6A61DEBE" w14:textId="77777777" w:rsidR="00F51D2B" w:rsidRDefault="00F51D2B">
      <w:pPr>
        <w:spacing w:after="60"/>
        <w:rPr>
          <w:rFonts w:ascii="Arial" w:hAnsi="Arial" w:cs="Arial"/>
          <w:sz w:val="20"/>
          <w:szCs w:val="20"/>
        </w:rPr>
      </w:pPr>
    </w:p>
    <w:p w14:paraId="47AB023A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 necessidade da contratação</w:t>
      </w:r>
      <w:r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MOTIVAÇÃO DO ATO | </w:t>
      </w:r>
      <w:r>
        <w:rPr>
          <w:rFonts w:ascii="Arial" w:hAnsi="Arial" w:cs="Arial"/>
          <w:sz w:val="16"/>
          <w:szCs w:val="16"/>
        </w:rPr>
        <w:t>(art. 15, I, Dec. 10.086/22)</w:t>
      </w:r>
    </w:p>
    <w:p w14:paraId="068157CC" w14:textId="77777777" w:rsidR="00F51D2B" w:rsidRDefault="00F51D2B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02A203C0" w14:textId="77777777">
        <w:tc>
          <w:tcPr>
            <w:tcW w:w="9628" w:type="dxa"/>
            <w:shd w:val="clear" w:color="auto" w:fill="FFFF00"/>
          </w:tcPr>
          <w:p w14:paraId="2B11CFBA" w14:textId="77777777" w:rsidR="00F51D2B" w:rsidRDefault="007A3EB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655AE943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da necessidade da contratação, considerado o problema a ser resolvido sob a perspectiva do interesse público:</w:t>
            </w:r>
          </w:p>
          <w:p w14:paraId="6BB38F3F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que será comprado?</w:t>
            </w:r>
          </w:p>
          <w:p w14:paraId="628B50E8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quê? </w:t>
            </w:r>
          </w:p>
          <w:p w14:paraId="77ED19CA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que serve? Como vai utilizar? Onde vai utilizar?</w:t>
            </w:r>
          </w:p>
          <w:p w14:paraId="5E035E08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Quais os benefícios para o atendimento da população?</w:t>
            </w:r>
          </w:p>
          <w:p w14:paraId="423B384A" w14:textId="53327DC5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="00905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 o material é necessário e imprescindível para a administração?</w:t>
            </w:r>
          </w:p>
          <w:p w14:paraId="74EB517C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razões que justifiquem a aquisição.</w:t>
            </w:r>
          </w:p>
        </w:tc>
      </w:tr>
    </w:tbl>
    <w:p w14:paraId="1C76A06A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DF4B6D0" w14:textId="77777777" w:rsidR="00F51D2B" w:rsidRDefault="00F51D2B"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 w14:paraId="00160BCE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Previsão da contratação no plano de contratações anual - PCA, sempre que elaborado | Alinhamento com o planejamento da Administração </w:t>
      </w:r>
      <w:r>
        <w:rPr>
          <w:rFonts w:ascii="Arial" w:hAnsi="Arial" w:cs="Arial"/>
          <w:sz w:val="16"/>
          <w:szCs w:val="16"/>
        </w:rPr>
        <w:t>(art. 15, II, Dec. 10.086/22)</w:t>
      </w:r>
    </w:p>
    <w:p w14:paraId="68CF80D3" w14:textId="77777777" w:rsidR="00F51D2B" w:rsidRDefault="00F51D2B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77422B71" w14:textId="77777777">
        <w:tc>
          <w:tcPr>
            <w:tcW w:w="9628" w:type="dxa"/>
            <w:shd w:val="clear" w:color="auto" w:fill="FFFF00"/>
          </w:tcPr>
          <w:p w14:paraId="7B8E182F" w14:textId="77777777" w:rsidR="00F51D2B" w:rsidRDefault="007A3EB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1542C261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Citar que o Item que está sendo contratado está previsto no Plano de Contratação Anual elaborado pela UEPG (e suas unidades),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informar a linha onde o item está inserido (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Ex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Acetazolamida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comprimido simples – 250 mg – linha 19 do PAC da FARMHOS) e a quantidade presente na coluna K.</w:t>
            </w:r>
          </w:p>
          <w:p w14:paraId="3D27CE18" w14:textId="77777777" w:rsidR="00F51D2B" w:rsidRDefault="00F51D2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B1A33CE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o item não constar no PCA, informar que será solicitada a revisão do PCA e inclusão do Item; e justificar os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motivos pelos quais o item não foi inserido no planejamento inicial do PCA</w:t>
            </w:r>
          </w:p>
        </w:tc>
      </w:tr>
    </w:tbl>
    <w:p w14:paraId="40898470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76AA9639" w14:textId="77777777" w:rsidR="00F51D2B" w:rsidRDefault="00F51D2B"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 w14:paraId="09520B3C" w14:textId="4B63257F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Requisitos da contratação</w:t>
      </w:r>
      <w:r w:rsidR="002F1E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(art. 15, III, Dec. 10.086/22)</w:t>
      </w:r>
    </w:p>
    <w:p w14:paraId="2B85C075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4535232B" w14:textId="77777777" w:rsidR="00F51D2B" w:rsidRDefault="007A3EB8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1.3.1 Requisitos básicos do bem/serviço</w:t>
      </w:r>
    </w:p>
    <w:p w14:paraId="2292FA38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D2B" w14:paraId="49CD8E6E" w14:textId="77777777">
        <w:tc>
          <w:tcPr>
            <w:tcW w:w="9628" w:type="dxa"/>
            <w:shd w:val="clear" w:color="auto" w:fill="FFFF00"/>
          </w:tcPr>
          <w:p w14:paraId="7B9608C3" w14:textId="77777777" w:rsidR="00F51D2B" w:rsidRDefault="007A3EB8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</w:p>
          <w:p w14:paraId="45DB198D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10.086/21:</w:t>
            </w:r>
          </w:p>
          <w:p w14:paraId="017001AE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376. Os requisitos da contratação consistem nas exigências de diversas ordens a serem atendidas, objetivando, ao final, a aquisição do bem ou a prestação do serviço, dentre elas a exigência de fixação dos requisitos de habilitação necessários e suficientes à demonstração da capacidade do licitante e do contratado de realizar o objeto.</w:t>
            </w:r>
          </w:p>
          <w:p w14:paraId="40FD2051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377. 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      </w:r>
          </w:p>
        </w:tc>
      </w:tr>
    </w:tbl>
    <w:p w14:paraId="6DDDF071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65E2120" w14:textId="77777777" w:rsidR="00F51D2B" w:rsidRDefault="007A3E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Texto sugerido:</w:t>
      </w:r>
    </w:p>
    <w:p w14:paraId="1429AF0E" w14:textId="77777777" w:rsidR="00F51D2B" w:rsidRDefault="00F51D2B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E2D6B41" w14:textId="77777777" w:rsidR="00F51D2B" w:rsidRDefault="007A3EB8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</w:r>
    </w:p>
    <w:p w14:paraId="4F7854CF" w14:textId="77777777" w:rsidR="00F51D2B" w:rsidRDefault="007A3EB8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565A6BE1" w14:textId="77777777" w:rsidR="00F51D2B" w:rsidRDefault="00F51D2B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E9790B" w14:textId="77777777" w:rsidR="00F51D2B" w:rsidRDefault="007A3EB8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Adicionalmente, detalhar as exigências relacionadas ao bem ou serviço, inerentes ao objeto, ou a forma de execução do </w:t>
      </w:r>
      <w:proofErr w:type="gramStart"/>
      <w:r>
        <w:rPr>
          <w:rFonts w:ascii="Arial" w:hAnsi="Arial" w:cs="Arial"/>
          <w:color w:val="FF0000"/>
          <w:sz w:val="20"/>
          <w:szCs w:val="20"/>
          <w:highlight w:val="yellow"/>
        </w:rPr>
        <w:t>serviço, etc.</w:t>
      </w:r>
      <w:proofErr w:type="gramEnd"/>
    </w:p>
    <w:p w14:paraId="48D580D3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41BBF2B9" w14:textId="77777777" w:rsidR="00F51D2B" w:rsidRDefault="007A3EB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1.3.2 Requisitos de habilitação complementares</w:t>
      </w:r>
    </w:p>
    <w:p w14:paraId="625B7567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4D4CE0A8" w14:textId="77777777">
        <w:tc>
          <w:tcPr>
            <w:tcW w:w="9628" w:type="dxa"/>
            <w:shd w:val="clear" w:color="auto" w:fill="FFFF00"/>
          </w:tcPr>
          <w:p w14:paraId="69B3D438" w14:textId="77777777" w:rsidR="00F51D2B" w:rsidRDefault="007A3EB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32E16673" w14:textId="488F23C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 caso de exigência de requisitos de habilitação complementares, se houver, além dos já previstos no Anexo II (Documentos de Habilitação) das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minutas de Edital da UEPG</w:t>
            </w:r>
            <w:r>
              <w:rPr>
                <w:rFonts w:ascii="Arial" w:hAnsi="Arial" w:cs="Arial"/>
                <w:sz w:val="18"/>
                <w:szCs w:val="18"/>
              </w:rPr>
              <w:t>, citar a regulamentação/norma que exige o requisito;</w:t>
            </w:r>
          </w:p>
          <w:p w14:paraId="0C241828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requisitos citados neste tópico (1.3.2) serão exigidos na etapa de habilitação/classificação da empresa, e em caso de não apresentação a empresa poderá ser desclassificada.</w:t>
            </w:r>
          </w:p>
          <w:p w14:paraId="1392C729" w14:textId="77777777" w:rsidR="00F51D2B" w:rsidRDefault="007A3EB8">
            <w:pPr>
              <w:spacing w:after="60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Ex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: nos editais de material médico, são solicitados atestados de capacidade técnica. Nos de serviços de engenharia, os atestados do CREA.</w:t>
            </w:r>
          </w:p>
          <w:p w14:paraId="5FBF69DB" w14:textId="062E0FD8" w:rsidR="00E81B8E" w:rsidRPr="00E81B8E" w:rsidRDefault="007C7BA9">
            <w:pPr>
              <w:spacing w:after="60"/>
              <w:jc w:val="both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Obrigatório a</w:t>
            </w:r>
            <w:r w:rsidR="00E81B8E" w:rsidRPr="00E81B8E">
              <w:rPr>
                <w:rFonts w:ascii="Arial" w:hAnsi="Arial" w:cs="Arial"/>
                <w:bCs/>
                <w:sz w:val="18"/>
                <w:szCs w:val="18"/>
              </w:rPr>
              <w:t xml:space="preserve"> solicitação de atestados de capacidade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 sua devida justificativa</w:t>
            </w:r>
            <w:r w:rsidR="00E81B8E" w:rsidRPr="00E81B8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19536EAA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30C93D3C" w14:textId="77777777" w:rsidR="00F51D2B" w:rsidRDefault="00F51D2B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333EF998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Estimativas das quantidades para a contratação | Memória de Cálculo </w:t>
      </w:r>
      <w:r>
        <w:rPr>
          <w:rFonts w:ascii="Arial" w:hAnsi="Arial" w:cs="Arial"/>
          <w:sz w:val="16"/>
          <w:szCs w:val="16"/>
        </w:rPr>
        <w:t>(art. 15, IV, Dec. 10.086/22)</w:t>
      </w:r>
    </w:p>
    <w:p w14:paraId="11FA0B0C" w14:textId="77777777" w:rsidR="00F51D2B" w:rsidRDefault="00F51D2B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648F10A5" w14:textId="77777777">
        <w:tc>
          <w:tcPr>
            <w:tcW w:w="9628" w:type="dxa"/>
            <w:shd w:val="clear" w:color="auto" w:fill="FFFF00"/>
          </w:tcPr>
          <w:p w14:paraId="40868222" w14:textId="77777777" w:rsidR="00F51D2B" w:rsidRDefault="007A3EB8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033B23BA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a metodologia utilizada para a mensuração da demanda;</w:t>
            </w:r>
          </w:p>
          <w:p w14:paraId="0ED65417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o histórico de consumo;</w:t>
            </w:r>
          </w:p>
          <w:p w14:paraId="4F64AEB4" w14:textId="77777777" w:rsidR="00F51D2B" w:rsidRDefault="007A3E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% de reserva técnica, se houver</w:t>
            </w:r>
          </w:p>
        </w:tc>
      </w:tr>
    </w:tbl>
    <w:p w14:paraId="5F7E814D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3334E60" w14:textId="77777777" w:rsidR="00F51D2B" w:rsidRDefault="007A3EB8">
      <w:pPr>
        <w:pStyle w:val="PargrafodaLista"/>
        <w:numPr>
          <w:ilvl w:val="2"/>
          <w:numId w:val="1"/>
        </w:numPr>
        <w:suppressAutoHyphens w:val="0"/>
        <w:spacing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Quanto à forma de definição da quantidade a ser adquirida</w:t>
      </w:r>
    </w:p>
    <w:p w14:paraId="325285D4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2E4DE66" w14:textId="77777777" w:rsidR="00F51D2B" w:rsidRDefault="007A3EB8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1.4.2 Quanto à Memória de Cálculo </w:t>
      </w:r>
    </w:p>
    <w:p w14:paraId="4134B45D" w14:textId="77777777" w:rsidR="00F51D2B" w:rsidRDefault="007A3EB8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Demonstrar e especificar como foram definidas as quantidades (pesquisa interna de demanda? Com base no histórico de consumo?)</w:t>
      </w:r>
    </w:p>
    <w:p w14:paraId="1DF82E4D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551503A2" w14:textId="77777777" w:rsidR="00F51D2B" w:rsidRDefault="007A3EB8">
      <w:pPr>
        <w:spacing w:after="6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O modelo é o mesmo do Anexo da Motivação</w:t>
      </w:r>
    </w:p>
    <w:p w14:paraId="22393884" w14:textId="77777777" w:rsidR="00F51D2B" w:rsidRDefault="00F51D2B">
      <w:pPr>
        <w:spacing w:after="6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40"/>
        <w:gridCol w:w="1220"/>
        <w:gridCol w:w="1340"/>
        <w:gridCol w:w="200"/>
        <w:gridCol w:w="1720"/>
        <w:gridCol w:w="250"/>
        <w:gridCol w:w="1970"/>
      </w:tblGrid>
      <w:tr w:rsidR="00F51D2B" w14:paraId="0BF80C4B" w14:textId="77777777">
        <w:trPr>
          <w:trHeight w:val="43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F18E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DESCRIÇÃO DO ITEM: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80A5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45828A3B" w14:textId="77777777">
        <w:trPr>
          <w:trHeight w:val="33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3E43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CÓD GMS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5FD6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3B5AAD6C" w14:textId="77777777">
        <w:trPr>
          <w:trHeight w:val="18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CC14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0285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6754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F880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316C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DDDF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5B20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61363795" w14:textId="77777777">
        <w:trPr>
          <w:trHeight w:val="334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710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HISTÓRICO DE CONSUMO</w:t>
            </w:r>
          </w:p>
        </w:tc>
      </w:tr>
      <w:tr w:rsidR="00F51D2B" w14:paraId="6957D8F9" w14:textId="77777777">
        <w:trPr>
          <w:trHeight w:val="18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F46DC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E702B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DA0B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A939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69F49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99A7A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7DD75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F51D2B" w14:paraId="1278E7DB" w14:textId="77777777">
        <w:trPr>
          <w:trHeight w:val="48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8F5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JAN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4C8D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8621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JUL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6FB5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7D25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E12A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ESTOQUE ATUAL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D13C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113088D7" w14:textId="77777777">
        <w:trPr>
          <w:trHeight w:val="24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62E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FEV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9056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13FA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AGO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2468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3BB614E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90B7A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2D5C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1CE89265" w14:textId="77777777">
        <w:trPr>
          <w:trHeight w:val="24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6D83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E00D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C08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ABBF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73E4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978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CONSUMO MÉDIO MENSAL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4771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7B66830F" w14:textId="77777777">
        <w:trPr>
          <w:trHeight w:val="247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E617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MAR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B913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37FAFF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SET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F476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1508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64B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28B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7F61EF56" w14:textId="77777777">
        <w:trPr>
          <w:trHeight w:val="247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C8DE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AE37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4FC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A971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A9050BC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F95D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C400D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F51D2B" w14:paraId="2CF47975" w14:textId="77777777">
        <w:trPr>
          <w:trHeight w:val="49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46B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ABR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6893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B6A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OUT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464C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B292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4BA0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PREVISÃO DE CONSUMO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28FF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76B3F8D9" w14:textId="77777777">
        <w:trPr>
          <w:trHeight w:val="24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4789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MAI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17EF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D209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NOV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9589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35282B0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C4C37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4AF3F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2FAB5C1F" w14:textId="77777777">
        <w:trPr>
          <w:trHeight w:val="24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B6C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B255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49B5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94FF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D83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786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 w:rsidRPr="007C7BA9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 xml:space="preserve">QUANTIDADE ADQUIRIDA NA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ÚLTIMA COMPRA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132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F51D2B" w14:paraId="35EEF941" w14:textId="77777777">
        <w:trPr>
          <w:trHeight w:val="247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ECBF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JUN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5346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36FE1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DEZ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0792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3731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33C2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74F8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460ABD1B" w14:textId="77777777">
        <w:trPr>
          <w:trHeight w:val="247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FE12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BFA5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53E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EF5E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CCCF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C4A4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US"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val="en-US" w:eastAsia="pt-BR"/>
              </w:rPr>
              <w:t>DATA ÚLTIMA COMPRA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9E31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5F2B0267" w14:textId="77777777">
        <w:trPr>
          <w:trHeight w:val="18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7FA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61D7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6115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0C4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4C6D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A765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B792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1E71CCA7" w14:textId="77777777">
        <w:trPr>
          <w:trHeight w:val="330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0343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RESPOSTA PESQUISA DE INTERESSE</w:t>
            </w:r>
          </w:p>
        </w:tc>
      </w:tr>
      <w:tr w:rsidR="00F51D2B" w14:paraId="0B4D1BE8" w14:textId="77777777">
        <w:trPr>
          <w:trHeight w:val="18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D5B3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DBE4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E8595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7711C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F9B2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9CFD2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680EE" w14:textId="77777777" w:rsidR="00F51D2B" w:rsidRDefault="00F51D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F51D2B" w14:paraId="52A9BE2E" w14:textId="77777777">
        <w:trPr>
          <w:trHeight w:val="330"/>
          <w:jc w:val="center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6E9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Nº PESQUISA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11E3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828F9" w14:textId="77777777" w:rsidR="00F51D2B" w:rsidRDefault="00F51D2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CDDE" w14:textId="77777777" w:rsidR="00F51D2B" w:rsidRDefault="007A3EB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DATA RESPOSTA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AFC3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F51D2B" w14:paraId="6ECDA896" w14:textId="77777777">
        <w:trPr>
          <w:trHeight w:val="18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CBBE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1A7A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AE16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4DD2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443C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8E90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D8D9" w14:textId="77777777" w:rsidR="00F51D2B" w:rsidRDefault="00F51D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 w:rsidR="00F51D2B" w14:paraId="635B0021" w14:textId="77777777">
        <w:trPr>
          <w:trHeight w:val="33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85B1" w14:textId="77777777" w:rsidR="00F51D2B" w:rsidRDefault="007A3E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t-BR"/>
              </w:rPr>
              <w:t>PREGÃO PARTICIPAÇÃO NO DECON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B33C" w14:textId="77777777" w:rsidR="00F51D2B" w:rsidRDefault="007A3E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 w14:paraId="3520CB14" w14:textId="77777777" w:rsidR="00F51D2B" w:rsidRDefault="00F51D2B">
      <w:pPr>
        <w:ind w:leftChars="300" w:left="660"/>
      </w:pPr>
    </w:p>
    <w:p w14:paraId="461B96FB" w14:textId="77777777" w:rsidR="00F51D2B" w:rsidRDefault="007A3EB8">
      <w:pPr>
        <w:ind w:leftChars="300" w:left="660"/>
      </w:pPr>
      <w:r>
        <w:t>OBSERVAÇÕES:</w:t>
      </w:r>
    </w:p>
    <w:tbl>
      <w:tblPr>
        <w:tblStyle w:val="Tabelacomgrade"/>
        <w:tblW w:w="9225" w:type="dxa"/>
        <w:tblInd w:w="636" w:type="dxa"/>
        <w:tblLook w:val="04A0" w:firstRow="1" w:lastRow="0" w:firstColumn="1" w:lastColumn="0" w:noHBand="0" w:noVBand="1"/>
      </w:tblPr>
      <w:tblGrid>
        <w:gridCol w:w="9225"/>
      </w:tblGrid>
      <w:tr w:rsidR="00F51D2B" w14:paraId="4DCFB4B6" w14:textId="77777777">
        <w:tc>
          <w:tcPr>
            <w:tcW w:w="9225" w:type="dxa"/>
            <w:tcBorders>
              <w:top w:val="nil"/>
              <w:left w:val="nil"/>
              <w:right w:val="nil"/>
            </w:tcBorders>
          </w:tcPr>
          <w:p w14:paraId="2B7BF76C" w14:textId="77777777" w:rsidR="00F51D2B" w:rsidRDefault="00F51D2B"/>
        </w:tc>
      </w:tr>
      <w:tr w:rsidR="00F51D2B" w14:paraId="2C81BB35" w14:textId="77777777">
        <w:tc>
          <w:tcPr>
            <w:tcW w:w="9225" w:type="dxa"/>
            <w:tcBorders>
              <w:left w:val="nil"/>
              <w:right w:val="nil"/>
            </w:tcBorders>
          </w:tcPr>
          <w:p w14:paraId="34549916" w14:textId="77777777" w:rsidR="00F51D2B" w:rsidRDefault="00F51D2B"/>
        </w:tc>
      </w:tr>
      <w:tr w:rsidR="00F51D2B" w14:paraId="43EA9091" w14:textId="77777777">
        <w:tc>
          <w:tcPr>
            <w:tcW w:w="9225" w:type="dxa"/>
            <w:tcBorders>
              <w:left w:val="nil"/>
              <w:right w:val="nil"/>
            </w:tcBorders>
          </w:tcPr>
          <w:p w14:paraId="07F7AE68" w14:textId="77777777" w:rsidR="00F51D2B" w:rsidRDefault="00F51D2B"/>
        </w:tc>
      </w:tr>
      <w:tr w:rsidR="00F51D2B" w14:paraId="06ADBE71" w14:textId="77777777">
        <w:tc>
          <w:tcPr>
            <w:tcW w:w="9225" w:type="dxa"/>
            <w:tcBorders>
              <w:left w:val="nil"/>
              <w:right w:val="nil"/>
            </w:tcBorders>
          </w:tcPr>
          <w:p w14:paraId="18B8DAC7" w14:textId="77777777" w:rsidR="00F51D2B" w:rsidRDefault="00F51D2B"/>
        </w:tc>
      </w:tr>
    </w:tbl>
    <w:p w14:paraId="526FA6BA" w14:textId="77777777" w:rsidR="00F51D2B" w:rsidRDefault="00F51D2B">
      <w:pPr>
        <w:ind w:leftChars="300" w:left="660"/>
      </w:pPr>
    </w:p>
    <w:p w14:paraId="205C17D2" w14:textId="77777777" w:rsidR="00F51D2B" w:rsidRDefault="007A3EB8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tab/>
      </w:r>
      <w:r>
        <w:rPr>
          <w:rFonts w:ascii="Arial" w:hAnsi="Arial" w:cs="Arial"/>
          <w:b/>
          <w:sz w:val="18"/>
          <w:szCs w:val="18"/>
          <w:highlight w:val="yellow"/>
        </w:rPr>
        <w:t>Notas explicativas:</w:t>
      </w:r>
    </w:p>
    <w:p w14:paraId="080A9C7F" w14:textId="77777777" w:rsidR="00F51D2B" w:rsidRDefault="007A3EB8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As notas são meramente explicativas. Dessa forma, ela deve ser retirada do pedido no momento da entrega da RM e do Estudo Técnico Preliminar.</w:t>
      </w:r>
    </w:p>
    <w:p w14:paraId="1A227960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– Pedidos para licitação devem ser pensados para consumo de um ano. NÃO serão aceitos pedidos complementares para o mesmo item.</w:t>
      </w:r>
    </w:p>
    <w:p w14:paraId="3797050F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caso ocorra algum fato superveniente</w:t>
      </w:r>
      <w:r>
        <w:rPr>
          <w:rStyle w:val="Refdenotaderodap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>, o setor deve justificar de forma clara e objetiva junto à motivação do ato do pedido.</w:t>
      </w:r>
    </w:p>
    <w:p w14:paraId="37A9D83B" w14:textId="77777777" w:rsidR="00F51D2B" w:rsidRDefault="007A3EB8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02 - Para pedido de Dispensa informar se o item já está em processo de licitação com número da RM ou do pregão;</w:t>
      </w:r>
    </w:p>
    <w:p w14:paraId="09D929BA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03 - Em casos de Dispensa pelo artigo 75, Incisos I e II da Lei 14.133/21 (dispensa por valor), explicar porque não é vantajoso fazer licitação;</w:t>
      </w:r>
    </w:p>
    <w:p w14:paraId="6B227353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04 – Para os processos de Dispensa por urgência (artigo 75, Inciso VIII da Lei 14.133/21) deve-se solicitar no mesmo momento, mas em </w:t>
      </w:r>
      <w:proofErr w:type="spellStart"/>
      <w:r>
        <w:rPr>
          <w:rFonts w:ascii="Arial" w:hAnsi="Arial" w:cs="Arial"/>
          <w:sz w:val="18"/>
          <w:szCs w:val="18"/>
        </w:rPr>
        <w:t>RMs</w:t>
      </w:r>
      <w:proofErr w:type="spellEnd"/>
      <w:r>
        <w:rPr>
          <w:rFonts w:ascii="Arial" w:hAnsi="Arial" w:cs="Arial"/>
          <w:sz w:val="18"/>
          <w:szCs w:val="18"/>
        </w:rPr>
        <w:t xml:space="preserve"> distintas, a realização de pregão eletrônico, sendo que ambos pedidos devem ser fundamentados. Somado a isso, o setor deve observar que o quantitativo máximo do pedido deve ser o suficiente para 06 (seis) meses. O prazo máximo de conclusão da dispensa por urgência é de, no máximo de 30 dias, a contar da data da homologação do pregão que teve como resultado deserto ou fracassado.</w:t>
      </w:r>
    </w:p>
    <w:p w14:paraId="23AF1E2E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05 – IMPORTANTE: Ao responder as pesquisas de interesse, o setor NÃO deve solicitar o mesmo material para abertura de processo licitatório pelo Hospital Universitário. </w:t>
      </w:r>
    </w:p>
    <w:p w14:paraId="10259B43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 – Nas pesquisas de interesse/ participações, conforme Lei 17081 de 09 de fevereiro de 2012, o órgão tem a obrigação de utilizar, no mínimo 65% do solicitado.</w:t>
      </w:r>
    </w:p>
    <w:p w14:paraId="0DC216EF" w14:textId="77777777" w:rsidR="00F51D2B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07 - No item </w:t>
      </w:r>
      <w:r>
        <w:rPr>
          <w:rFonts w:ascii="Arial" w:hAnsi="Arial" w:cs="Arial"/>
          <w:b/>
          <w:bCs/>
          <w:sz w:val="18"/>
          <w:szCs w:val="18"/>
        </w:rPr>
        <w:t>“ESTOQUE ATUAL”</w:t>
      </w:r>
      <w:r>
        <w:rPr>
          <w:rFonts w:ascii="Arial" w:hAnsi="Arial" w:cs="Arial"/>
          <w:sz w:val="18"/>
          <w:szCs w:val="18"/>
        </w:rPr>
        <w:t xml:space="preserve"> colocar a quantidade do estoque físico + quantitativo a ser entregue (caso tenha contrato vigente e que a empresa ainda não realizou o quantitativo total do contrato) ou estoque físico - quantitativo emprestado (caso o produto em estoque for proveniente de empréstimo).</w:t>
      </w:r>
    </w:p>
    <w:p w14:paraId="01277269" w14:textId="2ACB3B14" w:rsidR="000179C0" w:rsidRDefault="007A3EB8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08 - No item “PREVISÃO DE CONSUMO” colocar o quantitativo (consumo médio mensal x 12 meses). Em casos em que a previsão de consumo for diferente do cálculo anterior, a justificativa e a forma que foi realizado o cálculo DEVERÃO estar descritos.</w:t>
      </w:r>
    </w:p>
    <w:p w14:paraId="103E8699" w14:textId="1EBA0986" w:rsidR="000179C0" w:rsidRPr="00224CAE" w:rsidRDefault="000179C0" w:rsidP="00224CAE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224CAE">
        <w:rPr>
          <w:rFonts w:ascii="Arial" w:hAnsi="Arial" w:cs="Arial"/>
          <w:sz w:val="18"/>
          <w:szCs w:val="18"/>
        </w:rPr>
        <w:t xml:space="preserve">09 - </w:t>
      </w:r>
      <w:r w:rsidR="00224CAE">
        <w:rPr>
          <w:rFonts w:ascii="Arial" w:hAnsi="Arial" w:cs="Arial"/>
          <w:sz w:val="18"/>
          <w:szCs w:val="18"/>
        </w:rPr>
        <w:t>C</w:t>
      </w:r>
      <w:r w:rsidRPr="00224CAE">
        <w:rPr>
          <w:rFonts w:ascii="Arial" w:hAnsi="Arial" w:cs="Arial"/>
          <w:sz w:val="18"/>
          <w:szCs w:val="18"/>
        </w:rPr>
        <w:t>ritérios de medição e de pagamento</w:t>
      </w:r>
      <w:r w:rsidR="00224CAE">
        <w:rPr>
          <w:rFonts w:ascii="Arial" w:hAnsi="Arial" w:cs="Arial"/>
          <w:sz w:val="18"/>
          <w:szCs w:val="18"/>
        </w:rPr>
        <w:t>.</w:t>
      </w:r>
    </w:p>
    <w:p w14:paraId="49BE5354" w14:textId="38DDE1E6" w:rsidR="000179C0" w:rsidRPr="00224CAE" w:rsidRDefault="000179C0" w:rsidP="00224CAE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224CAE">
        <w:rPr>
          <w:rFonts w:ascii="Arial" w:hAnsi="Arial" w:cs="Arial"/>
          <w:sz w:val="18"/>
          <w:szCs w:val="18"/>
        </w:rPr>
        <w:t xml:space="preserve">10 - </w:t>
      </w:r>
      <w:r w:rsidR="00224CAE">
        <w:rPr>
          <w:rFonts w:ascii="Arial" w:hAnsi="Arial" w:cs="Arial"/>
          <w:sz w:val="18"/>
          <w:szCs w:val="18"/>
        </w:rPr>
        <w:t>F</w:t>
      </w:r>
      <w:r w:rsidRPr="00224CAE">
        <w:rPr>
          <w:rFonts w:ascii="Arial" w:hAnsi="Arial" w:cs="Arial"/>
          <w:sz w:val="18"/>
          <w:szCs w:val="18"/>
        </w:rPr>
        <w:t>orma e critérios de seleção do fornecedor</w:t>
      </w:r>
      <w:r w:rsidR="00224CAE">
        <w:rPr>
          <w:rFonts w:ascii="Arial" w:hAnsi="Arial" w:cs="Arial"/>
          <w:sz w:val="18"/>
          <w:szCs w:val="18"/>
        </w:rPr>
        <w:t>.</w:t>
      </w:r>
    </w:p>
    <w:p w14:paraId="40802CAC" w14:textId="77777777" w:rsidR="000179C0" w:rsidRDefault="000179C0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32B7C136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4E7C0F0E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Levantamento de mercado: análise das soluções existentes no mercado e justificativa técnica e econômica da escolha do tipo de solução a contratar </w:t>
      </w:r>
      <w:r>
        <w:rPr>
          <w:rFonts w:ascii="Arial" w:hAnsi="Arial" w:cs="Arial"/>
          <w:sz w:val="16"/>
          <w:szCs w:val="16"/>
        </w:rPr>
        <w:t>(art. 15, V, Dec. 10.086/22)</w:t>
      </w:r>
    </w:p>
    <w:p w14:paraId="085A6F25" w14:textId="77777777" w:rsidR="00F51D2B" w:rsidRDefault="00F51D2B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D2B" w14:paraId="449D6027" w14:textId="77777777">
        <w:tc>
          <w:tcPr>
            <w:tcW w:w="9628" w:type="dxa"/>
            <w:shd w:val="clear" w:color="auto" w:fill="FFFF00"/>
          </w:tcPr>
          <w:p w14:paraId="106696DE" w14:textId="77777777" w:rsidR="00F51D2B" w:rsidRDefault="007A3EB8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4AB66D82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a comparação das soluções existentes (ex. compra, locação, comodato);</w:t>
            </w:r>
          </w:p>
          <w:p w14:paraId="5393EA2B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Mensuração do custo de cada solução (Inserir um quadro comparativo se possível);</w:t>
            </w:r>
          </w:p>
          <w:p w14:paraId="6C8B5A92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vantagens e desvantagens (mensuráveis e imensuráveis) de cada solução;</w:t>
            </w:r>
          </w:p>
          <w:p w14:paraId="391E82E8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Considerar contratações similares feitas por outros órgãos e entidades, com objetivo de identificar a existência de novas metodologias, tecnologias ou inovações que melhor atendam às necessidades da administração;</w:t>
            </w:r>
          </w:p>
          <w:p w14:paraId="6290DF76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consulta, audiência pública ou diálogo transparente com potenciais contratadas, para coleta de contribuições;</w:t>
            </w:r>
          </w:p>
          <w:p w14:paraId="6AD9A242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Conclusão e escolha da melhor alternativa.</w:t>
            </w:r>
          </w:p>
          <w:p w14:paraId="3A32A980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Caso o objeto/serviço se tratar de um item que não possua mais de uma solução no mercado, este tópico pode ser dispensado, porém deve ser inserida justificativa da não elaboração deste tópico.</w:t>
            </w:r>
          </w:p>
        </w:tc>
      </w:tr>
    </w:tbl>
    <w:p w14:paraId="647E8B09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5A8D46C" w14:textId="77777777" w:rsidR="00F51D2B" w:rsidRDefault="007A3EB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1.5.1 Soluções Existentes no mercado</w:t>
      </w:r>
    </w:p>
    <w:p w14:paraId="18EA329D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BA482C8" w14:textId="77777777" w:rsidR="00F51D2B" w:rsidRDefault="007A3EB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1.5.2 Análise das soluções existentes</w:t>
      </w:r>
    </w:p>
    <w:p w14:paraId="213A1304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BF84AB5" w14:textId="77777777" w:rsidR="00F51D2B" w:rsidRDefault="007A3EB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1.5.3 Conclusão quanto à solução a ser adotara e os motivos da escolha</w:t>
      </w:r>
    </w:p>
    <w:p w14:paraId="0F56DBD2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23BC781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Estimativa do valor da contratação </w:t>
      </w:r>
      <w:r>
        <w:rPr>
          <w:rFonts w:ascii="Arial" w:hAnsi="Arial" w:cs="Arial"/>
          <w:sz w:val="16"/>
          <w:szCs w:val="16"/>
        </w:rPr>
        <w:t>(art. 15, VI, Dec. 10.086/22)</w:t>
      </w:r>
    </w:p>
    <w:p w14:paraId="1A616CE4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64F03A8D" w14:textId="77777777">
        <w:tc>
          <w:tcPr>
            <w:tcW w:w="9628" w:type="dxa"/>
            <w:shd w:val="clear" w:color="auto" w:fill="FFFF00"/>
          </w:tcPr>
          <w:p w14:paraId="269B362E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Tendo em vista que o Estudo Técnico Preliminar é realizado na etapa de planejamento da contratação e que a Etapa de pesquisa de preço é realizada somente na fase preparatória da contratação (se ocorrer), neste tópico pode ser inserido apenas o valor estimado dos itens, com base em histórico anterior de contratação ou valor estimado de mercado.</w:t>
            </w:r>
          </w:p>
          <w:p w14:paraId="2B7A43E6" w14:textId="77777777" w:rsidR="00F51D2B" w:rsidRDefault="00F51D2B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BA972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há necessidade de realização de pesquisa de preço com fornecedores nesta etapa - a não ser que a pesquisa já tenha sido realizada, neste caso pode ser inseridos os valores reais.</w:t>
            </w:r>
          </w:p>
        </w:tc>
      </w:tr>
    </w:tbl>
    <w:p w14:paraId="6F031FA4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5E1D069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Descrição da solução como um todo – Objeto Técnico </w:t>
      </w:r>
      <w:r>
        <w:rPr>
          <w:rFonts w:ascii="Arial" w:hAnsi="Arial" w:cs="Arial"/>
          <w:sz w:val="16"/>
          <w:szCs w:val="16"/>
        </w:rPr>
        <w:t>(art. 15, VII, Dec. 10.086/22)</w:t>
      </w:r>
    </w:p>
    <w:p w14:paraId="23053379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506823DA" w14:textId="77777777">
        <w:tc>
          <w:tcPr>
            <w:tcW w:w="9628" w:type="dxa"/>
            <w:shd w:val="clear" w:color="auto" w:fill="FFFF00"/>
          </w:tcPr>
          <w:p w14:paraId="19946EF1" w14:textId="77777777" w:rsidR="00F51D2B" w:rsidRDefault="007A3EB8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Nota Orientativa:</w:t>
            </w:r>
          </w:p>
          <w:p w14:paraId="6E70E00D" w14:textId="51B60B44" w:rsidR="00F51D2B" w:rsidRPr="00224CAE" w:rsidRDefault="007A3EB8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Inserir neste tópico a descrição completa do </w:t>
            </w:r>
            <w:r w:rsidR="00156157" w:rsidRPr="00224CAE">
              <w:rPr>
                <w:rFonts w:ascii="Arial" w:hAnsi="Arial" w:cs="Arial"/>
                <w:sz w:val="18"/>
                <w:szCs w:val="18"/>
                <w:highlight w:val="yellow"/>
              </w:rPr>
              <w:t>produto/</w:t>
            </w: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serviço a ser adquirido/contratado.</w:t>
            </w:r>
          </w:p>
          <w:p w14:paraId="0597EC59" w14:textId="6C5FA5B0" w:rsidR="004D160A" w:rsidRPr="00224CAE" w:rsidRDefault="004D160A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10.086/2022, art.15. – </w:t>
            </w:r>
            <w:r w:rsidR="00224CAE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specificação do produto, preferencialmente conforme catálogo eletrônico de padronização (COLOCAR o nº do produto/serviço no GMS), observados os requisitos de qualidade, rendimento, compatibilidade, durabilidade e segurança;</w:t>
            </w:r>
          </w:p>
          <w:p w14:paraId="2E068955" w14:textId="667FAACA" w:rsidR="00F51D2B" w:rsidRDefault="007A3EB8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Detalhar a solução/especificação técnica como um todo, inclusive das exigências relacionadas à manutenção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 à assistência técnica, quando couber, e a forma de entrega ou execução do serviço (tópicos que serão inseridos no Termo de Referência posteriormente)</w:t>
            </w:r>
            <w:r w:rsidR="00866C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541FA4" w14:textId="0DBA6533" w:rsidR="00866C08" w:rsidRDefault="00866C08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Especificar o(s) prazo(s), local(</w:t>
            </w:r>
            <w:proofErr w:type="spellStart"/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is</w:t>
            </w:r>
            <w:proofErr w:type="spellEnd"/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) e as condições de entrega ou execução do objeto.</w:t>
            </w:r>
          </w:p>
          <w:p w14:paraId="35EF7716" w14:textId="444CA92C" w:rsidR="0036251F" w:rsidRPr="00224CAE" w:rsidRDefault="0036251F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Informar as pessoas responsáveis pela Gestão e Fiscalização do Contrato</w:t>
            </w:r>
            <w:r w:rsidR="00FD274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(quando houver), bem como suplente</w:t>
            </w:r>
            <w:r w:rsidR="003C03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 fiscal</w:t>
            </w:r>
            <w:r w:rsidR="00FD274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14:paraId="5B9392E2" w14:textId="3EB862A1" w:rsidR="00AF0872" w:rsidRPr="00224CAE" w:rsidRDefault="00AF0872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Especificar os prazo</w:t>
            </w:r>
            <w:r w:rsidR="0036251F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para recebimento do objeto de forma provisória, de forma definitiva e prazo e em caso de rejeição do objeto quanto tempo a empresa tem para entregar a o objeto correto.  </w:t>
            </w:r>
          </w:p>
          <w:p w14:paraId="452C35BD" w14:textId="1B59BDCE" w:rsidR="00866C08" w:rsidRPr="00224CAE" w:rsidRDefault="00866C08" w:rsidP="00224CAE">
            <w:pPr>
              <w:shd w:val="clear" w:color="auto" w:fill="FFFF00"/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Informar, por exemplo, se a entrega será integral, parcelada, </w:t>
            </w:r>
            <w:proofErr w:type="gramStart"/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fracionada, etc.</w:t>
            </w:r>
            <w:proofErr w:type="gramEnd"/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>, quantidade específica ou conforme necessidade, informar endereço, horário</w:t>
            </w:r>
            <w:r w:rsidR="00224CAE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224C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etc</w:t>
            </w:r>
            <w:r w:rsidR="00DB5C0B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14:paraId="15B39B66" w14:textId="77777777" w:rsidR="00866C08" w:rsidRDefault="00866C0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Deverão ser observados os prazos médios do mercado para se obter uma melhor satisfação no resultado.</w:t>
            </w:r>
          </w:p>
          <w:p w14:paraId="3EFB7D3A" w14:textId="77777777" w:rsidR="00866C08" w:rsidRDefault="00866C0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 prazo e condições de garantia. </w:t>
            </w:r>
          </w:p>
          <w:p w14:paraId="7B503E04" w14:textId="555F133B" w:rsidR="005E41AC" w:rsidRDefault="00866C0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responsável pelo recebimento, telefone e e-mail, o responsável pela avaliação das propostas e documentação técnica para cada item, os responsáveis pela gestão e fiscalização contratual, quando couber.</w:t>
            </w:r>
          </w:p>
        </w:tc>
      </w:tr>
    </w:tbl>
    <w:p w14:paraId="46343A89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CB67987" w14:textId="75D24871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Justificativas para </w:t>
      </w:r>
      <w:r w:rsidR="00DD2603">
        <w:rPr>
          <w:rFonts w:ascii="Arial" w:hAnsi="Arial" w:cs="Arial"/>
          <w:b/>
          <w:bCs/>
          <w:sz w:val="20"/>
          <w:szCs w:val="20"/>
        </w:rPr>
        <w:t>divisão em lotes</w:t>
      </w:r>
      <w:r>
        <w:rPr>
          <w:rFonts w:ascii="Arial" w:hAnsi="Arial" w:cs="Arial"/>
          <w:b/>
          <w:bCs/>
          <w:sz w:val="20"/>
          <w:szCs w:val="20"/>
        </w:rPr>
        <w:t xml:space="preserve"> ou não da contratação </w:t>
      </w:r>
      <w:r>
        <w:rPr>
          <w:rFonts w:ascii="Arial" w:hAnsi="Arial" w:cs="Arial"/>
          <w:sz w:val="16"/>
          <w:szCs w:val="16"/>
        </w:rPr>
        <w:t>(art. 15, VIII, Dec. 10.086/22)</w:t>
      </w:r>
    </w:p>
    <w:p w14:paraId="5F610F20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6"/>
      </w:tblGrid>
      <w:tr w:rsidR="00F51D2B" w14:paraId="01BE3156" w14:textId="77777777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2BB9" w14:textId="77777777" w:rsidR="00F51D2B" w:rsidRDefault="007A3EB8">
            <w:pPr>
              <w:pStyle w:val="Textbody"/>
              <w:shd w:val="clear" w:color="auto" w:fill="FFFF00"/>
              <w:spacing w:after="57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2488496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Nota explicativa:</w:t>
            </w:r>
          </w:p>
          <w:p w14:paraId="4E301DAA" w14:textId="77777777" w:rsidR="00F51D2B" w:rsidRDefault="007A3EB8">
            <w:pPr>
              <w:pStyle w:val="TableContents"/>
              <w:shd w:val="clear" w:color="auto" w:fill="FFFF00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Obs. As notas explicativas são meramente orientativas. Portanto, devem ser excluídas)</w:t>
            </w:r>
          </w:p>
          <w:p w14:paraId="26EEEB36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parcelamento da contratação se refere a forma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  <w:lang w:eastAsia="en-US"/>
              </w:rPr>
              <w:t>como o objeto foi dividido por lotes e itens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 Exemplo:</w:t>
            </w:r>
          </w:p>
          <w:p w14:paraId="36C23209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lotes contendo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 cada;</w:t>
            </w:r>
          </w:p>
          <w:p w14:paraId="53065EAE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apenas 01 lote contendo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itens;</w:t>
            </w:r>
          </w:p>
          <w:p w14:paraId="366B2A21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Lotes contendo apenas 01 item cada;</w:t>
            </w:r>
          </w:p>
          <w:p w14:paraId="483C0390" w14:textId="77777777" w:rsidR="00F51D2B" w:rsidRDefault="00F51D2B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 w14:paraId="41618168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1. O objeto deverá ser dividido em tantas parcelas/lotes quantas se comprovarem técnica e economicamente viáveis.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  <w:lang w:eastAsia="en-US"/>
              </w:rPr>
              <w:t>Quando o mesmo lote reunir diversos itens, deverá haver justificativa nos autos que demonstre as razões técnicas e econômicas para a não adoção do parcelamento (cada item 1 lote)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</w:t>
            </w:r>
          </w:p>
          <w:p w14:paraId="54AE414E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Destaque-se o teor da Súmula 247 do TCU: 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      </w:r>
          </w:p>
          <w:p w14:paraId="3C0C34F6" w14:textId="77777777" w:rsidR="00F51D2B" w:rsidRDefault="00F51D2B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 w14:paraId="3B58A339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2. ADOÇÃO DE MODELAGEM DE LICITAÇÃO POR LOTE GLOBAL E NÃO POR ITEM.</w:t>
            </w:r>
          </w:p>
          <w:p w14:paraId="527AA416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A licitação deve propiciar à Administração Pública a contratação mais vantajosa, de forma que o art. 40, inciso V, alínea b, da Lei Federal 14.133/2021, determina a divisão do objeto em tantas parcelas quanto técnica e economicamente viável, o que amplia a competição, conquanto, de toda sorte, que essa escolha possa resultar maior economicidade (no mesmo sentido, vide orientação do Tribunal de Contas da União, Súmula 247)</w:t>
            </w:r>
          </w:p>
          <w:p w14:paraId="45F5CCCA" w14:textId="77777777" w:rsidR="00F51D2B" w:rsidRDefault="007A3EB8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Daí porque é necessário que conste no procedimento interno justificativa pela indivisibilidade do objeto licitado, ou seja, que se apresente as razões para a adoção por lote global.</w:t>
            </w:r>
          </w:p>
        </w:tc>
      </w:tr>
      <w:bookmarkEnd w:id="0"/>
    </w:tbl>
    <w:p w14:paraId="78775C72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6228811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Demonstrativo dos resultados pretendidos em termos de economicidade e de melhor aproveitamento dos recursos humanos, materiais e financeiros disponíveis </w:t>
      </w:r>
      <w:r>
        <w:rPr>
          <w:rFonts w:ascii="Arial" w:hAnsi="Arial" w:cs="Arial"/>
          <w:sz w:val="16"/>
          <w:szCs w:val="16"/>
        </w:rPr>
        <w:t>(art. 15, IX, Dec. 10.086/22)</w:t>
      </w:r>
    </w:p>
    <w:p w14:paraId="45CAA7F4" w14:textId="77777777" w:rsidR="00F51D2B" w:rsidRDefault="00F51D2B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2F1EBC84" w14:textId="77777777">
        <w:tc>
          <w:tcPr>
            <w:tcW w:w="9628" w:type="dxa"/>
            <w:shd w:val="clear" w:color="auto" w:fill="FFFF00"/>
          </w:tcPr>
          <w:p w14:paraId="0A9A02D3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6B218F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Demonstrar neste tópico os eventuais impactos dessa aquisição em termos de economicidade para a administração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pública, aproveitamento dos recursos humanos, materiais e financeiros disponíveis.</w:t>
            </w:r>
          </w:p>
          <w:p w14:paraId="15F33AAD" w14:textId="69C12249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análise deve reforçar a importância da aquisição em termos de gestão, e seus impactos nos resultados dos serviços prestados pela UEPG.</w:t>
            </w:r>
          </w:p>
        </w:tc>
      </w:tr>
    </w:tbl>
    <w:p w14:paraId="4932DA3C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3EEB182C" w14:textId="77777777" w:rsidR="00F51D2B" w:rsidRDefault="007A3EB8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Providências a serem adotadas pela Administração previamente à celebração do contrato, inclusive quanto à capacitação de servidores ou de empregados para fiscalização e gestão contratual </w:t>
      </w:r>
      <w:r>
        <w:rPr>
          <w:rFonts w:ascii="Arial" w:hAnsi="Arial" w:cs="Arial"/>
          <w:sz w:val="16"/>
          <w:szCs w:val="16"/>
        </w:rPr>
        <w:t>(art. 15, X, Dec. 10.086/22)</w:t>
      </w:r>
    </w:p>
    <w:p w14:paraId="5C0B2ACC" w14:textId="77777777" w:rsidR="00F51D2B" w:rsidRDefault="00F51D2B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055048C3" w14:textId="77777777">
        <w:tc>
          <w:tcPr>
            <w:tcW w:w="9628" w:type="dxa"/>
            <w:shd w:val="clear" w:color="auto" w:fill="FFFF00"/>
          </w:tcPr>
          <w:p w14:paraId="3375B3A5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27441188"/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798B1F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houver necessidade de providências prévias vinculadas à futura contratação pretendida, e/ou necessidade de capacitação dos servidores, inserir neste tópico.</w:t>
            </w:r>
          </w:p>
          <w:p w14:paraId="5937A23C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as providências ou capacitações necessárias.</w:t>
            </w:r>
          </w:p>
          <w:p w14:paraId="37CF23DB" w14:textId="1600FF01" w:rsidR="00A110DC" w:rsidRPr="00103375" w:rsidRDefault="00A110DC">
            <w:pPr>
              <w:spacing w:after="60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</w:pPr>
            <w:r w:rsidRP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 xml:space="preserve">Se houver </w:t>
            </w:r>
            <w:r w:rsid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>contrato</w:t>
            </w:r>
            <w:r w:rsidRP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 xml:space="preserve"> mencionar o prazo de vigência</w:t>
            </w:r>
            <w:r w:rsidR="000E48FD" w:rsidRP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 xml:space="preserve"> e se for</w:t>
            </w:r>
            <w:r w:rsidR="00696D9D" w:rsidRP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 xml:space="preserve"> o</w:t>
            </w:r>
            <w:r w:rsidR="000E48FD" w:rsidRPr="00103375"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  <w:t xml:space="preserve"> caso da possibilidade de prorrogação. </w:t>
            </w:r>
          </w:p>
          <w:p w14:paraId="6A265A0D" w14:textId="54A61ABE" w:rsidR="003B5EB6" w:rsidRPr="00103375" w:rsidRDefault="00224CAE" w:rsidP="003B5EB6">
            <w:pPr>
              <w:spacing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3375">
              <w:rPr>
                <w:rFonts w:ascii="Arial" w:hAnsi="Arial" w:cs="Arial"/>
                <w:bCs/>
                <w:sz w:val="18"/>
                <w:szCs w:val="18"/>
              </w:rPr>
              <w:t>Modelo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de execução do objeto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>efini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como o contrato deverá produzir os resultados pretendidos desde o seu início até o seu encerramento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2DAF75B" w14:textId="52E36D73" w:rsidR="00F851BA" w:rsidRPr="00A110DC" w:rsidRDefault="00224CAE" w:rsidP="003B5EB6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3375">
              <w:rPr>
                <w:rFonts w:ascii="Arial" w:hAnsi="Arial" w:cs="Arial"/>
                <w:bCs/>
                <w:sz w:val="18"/>
                <w:szCs w:val="18"/>
              </w:rPr>
              <w:t>Modelo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de gestão do contrato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descreve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3B5EB6" w:rsidRPr="00103375">
              <w:rPr>
                <w:rFonts w:ascii="Arial" w:hAnsi="Arial" w:cs="Arial"/>
                <w:bCs/>
                <w:sz w:val="18"/>
                <w:szCs w:val="18"/>
              </w:rPr>
              <w:t xml:space="preserve"> como a execução do objeto será acompanhada e fiscalizada pelo órgão ou entidade</w:t>
            </w:r>
            <w:r w:rsidR="0010337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bookmarkEnd w:id="1"/>
    </w:tbl>
    <w:p w14:paraId="74040720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59924FDC" w14:textId="6EBF4872" w:rsidR="00F51D2B" w:rsidRDefault="007A3EB8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Contratações correlatas e/ou </w:t>
      </w:r>
      <w:r w:rsidR="00224CAE">
        <w:rPr>
          <w:rFonts w:ascii="Arial" w:hAnsi="Arial" w:cs="Arial"/>
          <w:b/>
          <w:bCs/>
          <w:sz w:val="20"/>
          <w:szCs w:val="20"/>
        </w:rPr>
        <w:t>interdependentes</w:t>
      </w:r>
      <w:r w:rsidR="00224CA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art. 15, XI, Dec. 10.086/22)</w:t>
      </w:r>
    </w:p>
    <w:p w14:paraId="5D0E80DD" w14:textId="77777777" w:rsidR="00F51D2B" w:rsidRDefault="00F51D2B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38107A66" w14:textId="77777777">
        <w:tc>
          <w:tcPr>
            <w:tcW w:w="9628" w:type="dxa"/>
            <w:shd w:val="clear" w:color="auto" w:fill="FFFF00"/>
          </w:tcPr>
          <w:p w14:paraId="1072853D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127440215"/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6E3EAB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Elencar neste tópico outras contratações que eventualmente sejam necessárias em decorrência da contratação que está sendo planejada. </w:t>
            </w:r>
          </w:p>
          <w:p w14:paraId="6466E0DD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aquisição de equipamento x – contratação correlata: contratação de manutenção preventiva mensal para o equipamento x.</w:t>
            </w:r>
          </w:p>
          <w:p w14:paraId="59CD67B5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não houver contratações correlatas e/ou interdependentes, apenas citar que não se aplica.</w:t>
            </w:r>
          </w:p>
        </w:tc>
      </w:tr>
      <w:bookmarkEnd w:id="2"/>
    </w:tbl>
    <w:p w14:paraId="6B346741" w14:textId="77777777" w:rsidR="00F51D2B" w:rsidRDefault="00F51D2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546A1E66" w14:textId="77777777" w:rsidR="00F51D2B" w:rsidRDefault="00F51D2B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061D1D94" w14:textId="77777777" w:rsidR="00F51D2B" w:rsidRDefault="007A3EB8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</w:t>
      </w:r>
      <w:r>
        <w:rPr>
          <w:rFonts w:ascii="Arial" w:hAnsi="Arial" w:cs="Arial"/>
          <w:sz w:val="20"/>
          <w:szCs w:val="20"/>
        </w:rPr>
        <w:t xml:space="preserve">, quando </w:t>
      </w:r>
      <w:proofErr w:type="gramStart"/>
      <w:r>
        <w:rPr>
          <w:rFonts w:ascii="Arial" w:hAnsi="Arial" w:cs="Arial"/>
          <w:sz w:val="20"/>
          <w:szCs w:val="20"/>
        </w:rPr>
        <w:t>aplicável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art. 15, XII, Dec. 10.086/22)</w:t>
      </w:r>
    </w:p>
    <w:p w14:paraId="2604672C" w14:textId="77777777" w:rsidR="00F51D2B" w:rsidRDefault="00F51D2B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1F6C380" w14:textId="77777777" w:rsidR="00F51D2B" w:rsidRDefault="007A3E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Resposta sugerida:</w:t>
      </w:r>
    </w:p>
    <w:p w14:paraId="42B6C809" w14:textId="77777777" w:rsidR="00F51D2B" w:rsidRDefault="007A3EB8">
      <w:pPr>
        <w:spacing w:after="60" w:line="240" w:lineRule="auto"/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tópico “SUSTENTABILIDADE” do Termo de Referência deverão ser inseridas as práticas de sustentabilidade aplicáveis ao objeto, conforme o art. 362/363 do Decreto n.º 10.086, de 2022</w:t>
      </w:r>
      <w:r>
        <w:rPr>
          <w:rFonts w:ascii="Arial" w:hAnsi="Arial" w:cs="Arial"/>
          <w:sz w:val="20"/>
          <w:szCs w:val="20"/>
        </w:rPr>
        <w:t>:</w:t>
      </w:r>
    </w:p>
    <w:p w14:paraId="7924E67F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7AB7F30" w14:textId="22869966" w:rsidR="00F51D2B" w:rsidRDefault="007A3E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Adotar o artigo que se aplica à contratação (362</w:t>
      </w:r>
      <w:r w:rsidR="00FA05D6">
        <w:rPr>
          <w:rFonts w:ascii="Arial" w:hAnsi="Arial" w:cs="Arial"/>
          <w:color w:val="FF0000"/>
          <w:sz w:val="20"/>
          <w:szCs w:val="20"/>
          <w:highlight w:val="yellow"/>
        </w:rPr>
        <w:t xml:space="preserve"> ou 363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) e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excluir os incisos que não se aplicam ao objeto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– analisar todos os itens:</w:t>
      </w:r>
    </w:p>
    <w:p w14:paraId="293B2164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C7CC1B5" w14:textId="77777777" w:rsidR="00F51D2B" w:rsidRDefault="007A3E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Para aquisição de Bens:</w:t>
      </w:r>
    </w:p>
    <w:p w14:paraId="3920286D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362. No caso de aquisição de bens a Administração deverá prever que o contratado adotará as seguintes práticas de sustentabilidade, quando couber:</w:t>
      </w:r>
    </w:p>
    <w:p w14:paraId="21BBB81D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os bens sejam constituídos, no todo ou em parte, por material reciclado, atóxico, biodegradável, conforme normas específicas da ABNT;</w:t>
      </w:r>
    </w:p>
    <w:p w14:paraId="3992F432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sejam observados os requisitos ambientais para a obtenção de certificação do Instituto Nacional de Metrologia, Normalização e Qualidade Industrial - INMETRO, como produtos sustentáveis ou de menor impacto ambiental em relação aos seus similares;</w:t>
      </w:r>
    </w:p>
    <w:p w14:paraId="55AEFCD4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que os bens devam ser, preferencialmente, acondicionados em embalagem individual adequada, com o menor volume possível, que utilize materiais recicláveis, de forma a garantir a máxima proteção durante o transporte e o armazenamento;</w:t>
      </w:r>
    </w:p>
    <w:p w14:paraId="3526229D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- que os bens não contenham substâncias perigosas em concentração acima da recomendada na diretiva </w:t>
      </w:r>
      <w:proofErr w:type="spellStart"/>
      <w:r>
        <w:rPr>
          <w:rFonts w:ascii="Arial" w:hAnsi="Arial" w:cs="Arial"/>
          <w:sz w:val="20"/>
          <w:szCs w:val="20"/>
        </w:rPr>
        <w:t>RoHS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RestrictionofCertainHazardousSubstances</w:t>
      </w:r>
      <w:proofErr w:type="spellEnd"/>
      <w:r>
        <w:rPr>
          <w:rFonts w:ascii="Arial" w:hAnsi="Arial" w:cs="Arial"/>
          <w:sz w:val="20"/>
          <w:szCs w:val="20"/>
        </w:rPr>
        <w:t>), tais como mercúrio (Hg), chumbo (</w:t>
      </w:r>
      <w:proofErr w:type="spellStart"/>
      <w:r>
        <w:rPr>
          <w:rFonts w:ascii="Arial" w:hAnsi="Arial" w:cs="Arial"/>
          <w:sz w:val="20"/>
          <w:szCs w:val="20"/>
        </w:rPr>
        <w:t>Pb</w:t>
      </w:r>
      <w:proofErr w:type="spellEnd"/>
      <w:r>
        <w:rPr>
          <w:rFonts w:ascii="Arial" w:hAnsi="Arial" w:cs="Arial"/>
          <w:sz w:val="20"/>
          <w:szCs w:val="20"/>
        </w:rPr>
        <w:t>), cromo hexavalente (</w:t>
      </w:r>
      <w:proofErr w:type="gramStart"/>
      <w:r>
        <w:rPr>
          <w:rFonts w:ascii="Arial" w:hAnsi="Arial" w:cs="Arial"/>
          <w:sz w:val="20"/>
          <w:szCs w:val="20"/>
        </w:rPr>
        <w:t>Cr(</w:t>
      </w:r>
      <w:proofErr w:type="gramEnd"/>
      <w:r>
        <w:rPr>
          <w:rFonts w:ascii="Arial" w:hAnsi="Arial" w:cs="Arial"/>
          <w:sz w:val="20"/>
          <w:szCs w:val="20"/>
        </w:rPr>
        <w:t>VI)), cádmio (</w:t>
      </w:r>
      <w:proofErr w:type="spellStart"/>
      <w:r>
        <w:rPr>
          <w:rFonts w:ascii="Arial" w:hAnsi="Arial" w:cs="Arial"/>
          <w:sz w:val="20"/>
          <w:szCs w:val="20"/>
        </w:rPr>
        <w:t>Cd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bifenil</w:t>
      </w:r>
      <w:proofErr w:type="spellEnd"/>
      <w:r>
        <w:rPr>
          <w:rFonts w:ascii="Arial" w:hAnsi="Arial" w:cs="Arial"/>
          <w:sz w:val="20"/>
          <w:szCs w:val="20"/>
        </w:rPr>
        <w:t>-polibromados (</w:t>
      </w:r>
      <w:proofErr w:type="spellStart"/>
      <w:r>
        <w:rPr>
          <w:rFonts w:ascii="Arial" w:hAnsi="Arial" w:cs="Arial"/>
          <w:sz w:val="20"/>
          <w:szCs w:val="20"/>
        </w:rPr>
        <w:t>PBBs</w:t>
      </w:r>
      <w:proofErr w:type="spellEnd"/>
      <w:r>
        <w:rPr>
          <w:rFonts w:ascii="Arial" w:hAnsi="Arial" w:cs="Arial"/>
          <w:sz w:val="20"/>
          <w:szCs w:val="20"/>
        </w:rPr>
        <w:t>), éteres difenil-polibromados (PBDEs).</w:t>
      </w:r>
    </w:p>
    <w:p w14:paraId="130AB376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1º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 w14:paraId="1C9361DA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 w14:paraId="5D1DB392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 O edital ainda deve prever que, caso não se confirme a adequação do produto, a proposta selecionada será desclassificada.</w:t>
      </w:r>
    </w:p>
    <w:p w14:paraId="577EDDE6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913B60B" w14:textId="77777777" w:rsidR="00F51D2B" w:rsidRDefault="007A3E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Para prestação de serviços:</w:t>
      </w:r>
    </w:p>
    <w:p w14:paraId="443B96A4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363. No caso de prestação de serviços a Administração deverá prever que o contratado adotará as seguintes práticas de sustentabilidade, quando couber:</w:t>
      </w:r>
    </w:p>
    <w:p w14:paraId="3D0EF8D4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use produtos de limpeza e conservação de superfícies e objetos inanimados que obedeçam às classificações e especificações determinadas pela ANVISA;</w:t>
      </w:r>
    </w:p>
    <w:p w14:paraId="026CC266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adote medidas para evitar o desperdício de água tratada;</w:t>
      </w:r>
    </w:p>
    <w:p w14:paraId="216A6D51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- que observe a Resolução CONAMA nº </w:t>
      </w:r>
      <w:proofErr w:type="gramStart"/>
      <w:r>
        <w:rPr>
          <w:rFonts w:ascii="Arial" w:hAnsi="Arial" w:cs="Arial"/>
          <w:sz w:val="20"/>
          <w:szCs w:val="20"/>
        </w:rPr>
        <w:t>20 ,</w:t>
      </w:r>
      <w:proofErr w:type="gramEnd"/>
      <w:r>
        <w:rPr>
          <w:rFonts w:ascii="Arial" w:hAnsi="Arial" w:cs="Arial"/>
          <w:sz w:val="20"/>
          <w:szCs w:val="20"/>
        </w:rPr>
        <w:t xml:space="preserve"> de 7 de dezembro de 1994, ou outra que venha sucedê-la, quanto aos equipamentos de limpeza que gerem ruído no seu funcionamento;</w:t>
      </w:r>
    </w:p>
    <w:p w14:paraId="0AF080FE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forneça aos empregados os equipamentos de segurança que se fizerem necessários, para a execução de serviços;</w:t>
      </w:r>
    </w:p>
    <w:p w14:paraId="47913C1B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realize um programa interno de treinamento de seus empregados, nos três primeiros meses de execução contratual, para redução de consumo de energia elétrica, de consumo de água e de produção de resíduos sólidos, observadas as normas ambientais vigentes;</w:t>
      </w:r>
    </w:p>
    <w:p w14:paraId="29BBBB9D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-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realize a separação dos resíduos recicláveis descartados pelos órgãos e entidades da Administração Pública Estadual direta, autárquica e fundacional, na fonte geradora, e a sua destinação às associações e cooperativas dos catadores de materiais recicláveis, que será procedida pela coleta seletiva do papel para reciclagem, quando couber, nos termos do Decreto nº 4.167, de 20 de janeiro de 2009;</w:t>
      </w:r>
    </w:p>
    <w:p w14:paraId="22194DC7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que respeite as Normas Brasileiras - NBR publicadas pela ABNT sobre resíduos sólidos;</w:t>
      </w:r>
    </w:p>
    <w:p w14:paraId="3FC999AB" w14:textId="77777777" w:rsidR="00F51D2B" w:rsidRDefault="007A3E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 - que preveja a destinação ambiental adequada das pilhas e baterias usadas ou inservíveis, segundo disposto na Lei nº </w:t>
      </w:r>
      <w:proofErr w:type="gramStart"/>
      <w:r>
        <w:rPr>
          <w:rFonts w:ascii="Arial" w:hAnsi="Arial" w:cs="Arial"/>
          <w:sz w:val="20"/>
          <w:szCs w:val="20"/>
        </w:rPr>
        <w:t>16.075 ,</w:t>
      </w:r>
      <w:proofErr w:type="gramEnd"/>
      <w:r>
        <w:rPr>
          <w:rFonts w:ascii="Arial" w:hAnsi="Arial" w:cs="Arial"/>
          <w:sz w:val="20"/>
          <w:szCs w:val="20"/>
        </w:rPr>
        <w:t xml:space="preserve"> de 1º de abril de 2009.</w:t>
      </w:r>
    </w:p>
    <w:p w14:paraId="34190ED0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05A054C" w14:textId="77777777" w:rsidR="00F51D2B" w:rsidRDefault="007A3EB8">
      <w:pPr>
        <w:spacing w:after="60" w:line="240" w:lineRule="auto"/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Também, deverá ser inserido no mesmo tópico, a exigência prevista na Lei Estadual 20132 de 20 de </w:t>
      </w:r>
      <w:proofErr w:type="gramStart"/>
      <w:r>
        <w:rPr>
          <w:rFonts w:ascii="Arial" w:hAnsi="Arial" w:cs="Arial"/>
          <w:b/>
          <w:sz w:val="20"/>
          <w:szCs w:val="20"/>
        </w:rPr>
        <w:t>Janeiro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2020, no que se refere à logística reversa</w:t>
      </w:r>
      <w:r>
        <w:rPr>
          <w:rFonts w:ascii="Arial" w:hAnsi="Arial" w:cs="Arial"/>
          <w:sz w:val="20"/>
          <w:szCs w:val="20"/>
        </w:rPr>
        <w:t>:</w:t>
      </w:r>
    </w:p>
    <w:p w14:paraId="588A163D" w14:textId="77777777" w:rsidR="00F51D2B" w:rsidRDefault="007A3EB8">
      <w:pPr>
        <w:pStyle w:val="PargrafodaLista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documentação relativa à Logística Reversa – Compra Inteligente Sustentável consistirá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declaração da empresa atestando o atendimento à Política Pública Ambiental de licitação sustentável, em especial, que se responsabiliza integralmente com a logística reversa dos produtos, embalagens e serviços pós-consumo no limite da proporção que fornecerem ao Poder Público, assumindo a responsabilidade pela destinação final ambientalmente adequada.</w:t>
      </w:r>
    </w:p>
    <w:p w14:paraId="44841600" w14:textId="77777777" w:rsidR="00F51D2B" w:rsidRDefault="007A3EB8">
      <w:pPr>
        <w:pStyle w:val="PargrafodaLista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Entende-se por logística reversa o instrumento de desenvolvimento econômico e social caracterizado por um conjunto de ações, procedimentos e meios destinados a viabilizar a coleta e a restituição dos resíduos sólidos ao setor empresarial, para reaproveitamento em seu ciclo ou em outros ciclos produtivos, ou outra destinação final ambientalmente adequada.</w:t>
      </w:r>
    </w:p>
    <w:p w14:paraId="1A4CD0CC" w14:textId="77777777" w:rsidR="00F51D2B" w:rsidRDefault="007A3EB8">
      <w:pPr>
        <w:pStyle w:val="PargrafodaLista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responsabilidade compartilhada pelo ciclo de vida, da geração até a destinação final ambientalmente adequada, dos produtos, embalagens e serviços, é dos fabricantes, importadores, distribuidores e comerciantes.</w:t>
      </w:r>
    </w:p>
    <w:p w14:paraId="0FF2F0F0" w14:textId="77777777" w:rsidR="00F51D2B" w:rsidRDefault="007A3EB8">
      <w:pPr>
        <w:pStyle w:val="PargrafodaLista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dever imposto aos fabricantes, importadores, distribuidores e comerciantes de implementar e operacionalizar o Sistema de Logística Reversa independe das normas estabelecidas em acordos setoriais e termos de compromisso firmados entre o Poder Público e o setor empresarial, este deve decorrer diretamente da Lei.</w:t>
      </w:r>
    </w:p>
    <w:p w14:paraId="7611DDF5" w14:textId="77777777" w:rsidR="00F51D2B" w:rsidRDefault="00F51D2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67CF7BE" w14:textId="77777777" w:rsidR="00F51D2B" w:rsidRDefault="00F51D2B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338F1B1" w14:textId="10AFF240" w:rsidR="00F51D2B" w:rsidRDefault="007A3EB8">
      <w:pPr>
        <w:pStyle w:val="Pargrafoda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Posicionamento conclusivo sobre a adequação da contratação para o atendimento da necessidade a que se </w:t>
      </w:r>
      <w:r w:rsidR="00224CAE">
        <w:rPr>
          <w:rFonts w:ascii="Arial" w:hAnsi="Arial" w:cs="Arial"/>
          <w:b/>
          <w:bCs/>
          <w:sz w:val="20"/>
          <w:szCs w:val="20"/>
        </w:rPr>
        <w:t>destina</w:t>
      </w:r>
      <w:r w:rsidR="00224CAE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art. 15, XIII, Dec. 10.086/22)</w:t>
      </w:r>
    </w:p>
    <w:p w14:paraId="5A9CD995" w14:textId="77777777" w:rsidR="00F51D2B" w:rsidRDefault="00F51D2B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F51D2B" w14:paraId="7C603861" w14:textId="77777777">
        <w:tc>
          <w:tcPr>
            <w:tcW w:w="9628" w:type="dxa"/>
            <w:shd w:val="clear" w:color="auto" w:fill="FFFF00"/>
          </w:tcPr>
          <w:p w14:paraId="4E541181" w14:textId="77777777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A305CAE" w14:textId="3C742433" w:rsidR="00F51D2B" w:rsidRDefault="007A3E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Desfecho da análise realizada nos tópicos anteriores, elaborar uma conclusão sobre a necessidade da contratação, bem como sua importância para os serviços executados pela </w:t>
            </w:r>
            <w:r w:rsidR="00905E39">
              <w:rPr>
                <w:rFonts w:ascii="Arial" w:hAnsi="Arial" w:cs="Arial"/>
                <w:sz w:val="18"/>
                <w:szCs w:val="18"/>
              </w:rPr>
              <w:t>UEPG</w:t>
            </w:r>
            <w:r>
              <w:rPr>
                <w:rFonts w:ascii="Arial" w:hAnsi="Arial" w:cs="Arial"/>
                <w:sz w:val="18"/>
                <w:szCs w:val="18"/>
              </w:rPr>
              <w:t xml:space="preserve">, os resultados para a população, e como a aquisição se materializará em benefícios para o serviço público prestado pela </w:t>
            </w:r>
            <w:r w:rsidR="00905E39">
              <w:rPr>
                <w:rFonts w:ascii="Arial" w:hAnsi="Arial" w:cs="Arial"/>
                <w:sz w:val="18"/>
                <w:szCs w:val="18"/>
              </w:rPr>
              <w:t>UEPG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25FD1C9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00FFB8E8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6D654830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  <w:sectPr w:rsidR="00F51D2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038AADA" w14:textId="77777777" w:rsidR="00F51D2B" w:rsidRDefault="007A3EB8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1</w:t>
      </w:r>
    </w:p>
    <w:p w14:paraId="28FF41DE" w14:textId="77777777" w:rsidR="00F51D2B" w:rsidRDefault="007A3EB8">
      <w:pPr>
        <w:tabs>
          <w:tab w:val="left" w:pos="97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MAPA DE RISCO</w:t>
      </w:r>
    </w:p>
    <w:p w14:paraId="638E9EDD" w14:textId="77777777" w:rsidR="00F51D2B" w:rsidRDefault="007A3EB8">
      <w:pPr>
        <w:tabs>
          <w:tab w:val="left" w:pos="97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(adaptado de anexo IV da IN nº 05/2017/SEGES/MPGD)</w:t>
      </w:r>
    </w:p>
    <w:tbl>
      <w:tblPr>
        <w:tblStyle w:val="Tabelacomgrade"/>
        <w:tblW w:w="15913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842"/>
        <w:gridCol w:w="1276"/>
        <w:gridCol w:w="850"/>
        <w:gridCol w:w="928"/>
        <w:gridCol w:w="1947"/>
        <w:gridCol w:w="1450"/>
        <w:gridCol w:w="2236"/>
        <w:gridCol w:w="1698"/>
      </w:tblGrid>
      <w:tr w:rsidR="00F51D2B" w14:paraId="39C9F2C4" w14:textId="77777777">
        <w:tc>
          <w:tcPr>
            <w:tcW w:w="1985" w:type="dxa"/>
            <w:vAlign w:val="center"/>
          </w:tcPr>
          <w:p w14:paraId="71716D7B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Risco</w:t>
            </w:r>
          </w:p>
        </w:tc>
        <w:tc>
          <w:tcPr>
            <w:tcW w:w="1701" w:type="dxa"/>
            <w:vAlign w:val="center"/>
          </w:tcPr>
          <w:p w14:paraId="278208C9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842" w:type="dxa"/>
            <w:vAlign w:val="center"/>
          </w:tcPr>
          <w:p w14:paraId="4297DFA9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Dano/</w:t>
            </w:r>
          </w:p>
          <w:p w14:paraId="576C2BA9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Consequência</w:t>
            </w:r>
          </w:p>
        </w:tc>
        <w:tc>
          <w:tcPr>
            <w:tcW w:w="1276" w:type="dxa"/>
            <w:vAlign w:val="center"/>
          </w:tcPr>
          <w:p w14:paraId="6BD3E75B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Probabilidade</w:t>
            </w:r>
          </w:p>
          <w:p w14:paraId="3B5F7CA7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850" w:type="dxa"/>
            <w:vAlign w:val="center"/>
          </w:tcPr>
          <w:p w14:paraId="593DF067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Impacto</w:t>
            </w:r>
          </w:p>
          <w:p w14:paraId="383C822D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45ABB43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7CEB4AF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(ref. Matriz)</w:t>
            </w: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3FF67205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 Preventiva</w:t>
            </w: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6C80F87D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AC9C8F9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 de Contingência</w:t>
            </w:r>
          </w:p>
          <w:p w14:paraId="1A2FD226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 o risco se concretizar)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79DBF8A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</w:tr>
      <w:tr w:rsidR="00F51D2B" w14:paraId="1FFD1A85" w14:textId="77777777">
        <w:tc>
          <w:tcPr>
            <w:tcW w:w="1985" w:type="dxa"/>
            <w:vAlign w:val="center"/>
          </w:tcPr>
          <w:p w14:paraId="137316AF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Questionamentos excessivos no pregão.</w:t>
            </w:r>
          </w:p>
        </w:tc>
        <w:tc>
          <w:tcPr>
            <w:tcW w:w="1701" w:type="dxa"/>
            <w:vAlign w:val="center"/>
          </w:tcPr>
          <w:p w14:paraId="4139E402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4ECEF8D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AED15B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A287CA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B2A1C7" w:themeFill="accent4" w:themeFillTint="99"/>
            <w:vAlign w:val="center"/>
          </w:tcPr>
          <w:p w14:paraId="5F405AC6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42E74AA7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3E27B1A6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13D70400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AC12D8C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51803600" w14:textId="77777777">
        <w:tc>
          <w:tcPr>
            <w:tcW w:w="1985" w:type="dxa"/>
            <w:vAlign w:val="center"/>
          </w:tcPr>
          <w:p w14:paraId="4BEF1ECE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Licitação deserta ou com lote deserto.</w:t>
            </w:r>
          </w:p>
        </w:tc>
        <w:tc>
          <w:tcPr>
            <w:tcW w:w="1701" w:type="dxa"/>
            <w:vAlign w:val="center"/>
          </w:tcPr>
          <w:p w14:paraId="2F7DB169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40BC431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72445F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B5CFAD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00B050"/>
            <w:vAlign w:val="center"/>
          </w:tcPr>
          <w:p w14:paraId="4DECC72F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0FA23DC7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5E28BDC1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5C04735F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1CAF0AF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749633E1" w14:textId="77777777">
        <w:tc>
          <w:tcPr>
            <w:tcW w:w="1985" w:type="dxa"/>
            <w:vAlign w:val="center"/>
          </w:tcPr>
          <w:p w14:paraId="3EA48254" w14:textId="77777777" w:rsidR="00F51D2B" w:rsidRDefault="007A3EB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Recusa em assinar o contrato</w:t>
            </w:r>
          </w:p>
        </w:tc>
        <w:tc>
          <w:tcPr>
            <w:tcW w:w="1701" w:type="dxa"/>
            <w:vAlign w:val="center"/>
          </w:tcPr>
          <w:p w14:paraId="4828B2AC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C5B4860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F46730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276DE3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FF0000"/>
            <w:vAlign w:val="center"/>
          </w:tcPr>
          <w:p w14:paraId="46AF61F3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514D81DD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57BEC47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1E243656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E455336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4AA4A2DD" w14:textId="77777777">
        <w:tc>
          <w:tcPr>
            <w:tcW w:w="1985" w:type="dxa"/>
            <w:vAlign w:val="center"/>
          </w:tcPr>
          <w:p w14:paraId="415122EB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Incapacidade da empresa vencedora em cumprir com o compromisso assumido</w:t>
            </w:r>
          </w:p>
        </w:tc>
        <w:tc>
          <w:tcPr>
            <w:tcW w:w="1701" w:type="dxa"/>
            <w:vAlign w:val="center"/>
          </w:tcPr>
          <w:p w14:paraId="60B565A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A0A11DC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5BFC5D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ED54A6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D54E7B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473086EC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2BB4D517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535FA686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17845459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3A0F416C" w14:textId="77777777">
        <w:tc>
          <w:tcPr>
            <w:tcW w:w="1985" w:type="dxa"/>
            <w:vAlign w:val="center"/>
          </w:tcPr>
          <w:p w14:paraId="2908CB88" w14:textId="49E27919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Variação abrupta de preços durante a vigência d</w:t>
            </w:r>
            <w:r w:rsidR="00866C0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contrato.</w:t>
            </w:r>
          </w:p>
        </w:tc>
        <w:tc>
          <w:tcPr>
            <w:tcW w:w="1701" w:type="dxa"/>
            <w:vAlign w:val="center"/>
          </w:tcPr>
          <w:p w14:paraId="5174F2AD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E8EC1A0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A6C462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C8B25A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36EFCDC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33E77FC8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531DD8CC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3B12EC57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6001A477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7D4F3AC5" w14:textId="77777777">
        <w:tc>
          <w:tcPr>
            <w:tcW w:w="1985" w:type="dxa"/>
            <w:vAlign w:val="center"/>
          </w:tcPr>
          <w:p w14:paraId="764D9E0E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Solicitação de Reequilíbrio e Cancelamentos subsequentes à assinatura do contrato</w:t>
            </w:r>
          </w:p>
        </w:tc>
        <w:tc>
          <w:tcPr>
            <w:tcW w:w="1701" w:type="dxa"/>
            <w:vAlign w:val="center"/>
          </w:tcPr>
          <w:p w14:paraId="1AB5666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C26B691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36AC26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76EE9E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AD01CE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512B36F1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01E7A61A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2EDBF229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46E5EA02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11DF22F2" w14:textId="77777777">
        <w:tc>
          <w:tcPr>
            <w:tcW w:w="1985" w:type="dxa"/>
            <w:vAlign w:val="center"/>
          </w:tcPr>
          <w:p w14:paraId="638E94EB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Indisponibilidade do bem licitado</w:t>
            </w:r>
          </w:p>
        </w:tc>
        <w:tc>
          <w:tcPr>
            <w:tcW w:w="1701" w:type="dxa"/>
            <w:vAlign w:val="center"/>
          </w:tcPr>
          <w:p w14:paraId="6FF3F73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D604F92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D99CA1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5AD1CA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2EEB41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0703F149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3D4C3ABD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3076277F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FD60DE0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D2B" w14:paraId="1FAF0DE9" w14:textId="77777777">
        <w:tc>
          <w:tcPr>
            <w:tcW w:w="1985" w:type="dxa"/>
            <w:vAlign w:val="center"/>
          </w:tcPr>
          <w:p w14:paraId="384C45DA" w14:textId="77777777" w:rsidR="00F51D2B" w:rsidRDefault="007A3EB8"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Fornecimento de baixa qualidade</w:t>
            </w:r>
          </w:p>
        </w:tc>
        <w:tc>
          <w:tcPr>
            <w:tcW w:w="1701" w:type="dxa"/>
            <w:vAlign w:val="center"/>
          </w:tcPr>
          <w:p w14:paraId="61208EE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917953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C4B353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206E84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03C7EFE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14:paraId="1BE0A33A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1" w:themeFill="text2" w:themeFillTint="33"/>
            <w:vAlign w:val="center"/>
          </w:tcPr>
          <w:p w14:paraId="13E2B074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 w14:paraId="7A981772" w14:textId="77777777" w:rsidR="00F51D2B" w:rsidRDefault="00F51D2B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37C8714B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B557F2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5CFBB082" w14:textId="77777777" w:rsidR="00F51D2B" w:rsidRDefault="007A3EB8">
      <w:pPr>
        <w:tabs>
          <w:tab w:val="left" w:pos="97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MATRIZ DE RISCO</w:t>
      </w:r>
    </w:p>
    <w:tbl>
      <w:tblPr>
        <w:tblStyle w:val="Tabelacomgrade1"/>
        <w:tblW w:w="8363" w:type="dxa"/>
        <w:tblInd w:w="2977" w:type="dxa"/>
        <w:tblLook w:val="04A0" w:firstRow="1" w:lastRow="0" w:firstColumn="1" w:lastColumn="0" w:noHBand="0" w:noVBand="1"/>
      </w:tblPr>
      <w:tblGrid>
        <w:gridCol w:w="567"/>
        <w:gridCol w:w="1559"/>
        <w:gridCol w:w="1219"/>
        <w:gridCol w:w="1276"/>
        <w:gridCol w:w="1417"/>
        <w:gridCol w:w="1134"/>
        <w:gridCol w:w="1191"/>
      </w:tblGrid>
      <w:tr w:rsidR="00F51D2B" w14:paraId="156FE0A2" w14:textId="77777777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14:paraId="3EAF6403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699C996F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14:paraId="37B72911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14:paraId="08AF40AE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4650FBF9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2BDF521B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315D96B3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E6B100A" w14:textId="77777777" w:rsidR="00F51D2B" w:rsidRDefault="007A3EB8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Muito Alto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19" w:type="dxa"/>
            <w:shd w:val="clear" w:color="auto" w:fill="B2A1C7" w:themeFill="accent4" w:themeFillTint="99"/>
            <w:vAlign w:val="center"/>
          </w:tcPr>
          <w:p w14:paraId="1C53469F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41C90652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8045958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9E471D7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0BF01C07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F51D2B" w14:paraId="05CF3102" w14:textId="77777777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00096126" w14:textId="77777777" w:rsidR="00F51D2B" w:rsidRDefault="00F51D2B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2E0AE6C" w14:textId="77777777" w:rsidR="00F51D2B" w:rsidRDefault="007A3EB8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19" w:type="dxa"/>
            <w:shd w:val="clear" w:color="auto" w:fill="B2A1C7" w:themeFill="accent4" w:themeFillTint="99"/>
            <w:vAlign w:val="center"/>
          </w:tcPr>
          <w:p w14:paraId="009020E2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14:paraId="344A2F59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1D07484A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B6CFB50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5EF205A3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F51D2B" w14:paraId="28B6FD17" w14:textId="77777777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7897D7B0" w14:textId="77777777" w:rsidR="00F51D2B" w:rsidRDefault="00F51D2B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43A8374" w14:textId="77777777" w:rsidR="00F51D2B" w:rsidRDefault="007A3EB8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Médio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03D1F78C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14:paraId="291279D2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14:paraId="44D83D76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6BABF58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354B66E4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F51D2B" w14:paraId="4ADE4431" w14:textId="77777777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0F18210B" w14:textId="77777777" w:rsidR="00F51D2B" w:rsidRDefault="00F51D2B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2BB853A0" w14:textId="77777777" w:rsidR="00F51D2B" w:rsidRDefault="007A3EB8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Baixo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596CF68B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14:paraId="443B0F08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14:paraId="28BC8C43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14:paraId="645D9E76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7694F094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</w:tr>
      <w:tr w:rsidR="00F51D2B" w14:paraId="649FFFF0" w14:textId="77777777">
        <w:trPr>
          <w:trHeight w:val="39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14:paraId="4BEAF154" w14:textId="77777777" w:rsidR="00F51D2B" w:rsidRDefault="00F51D2B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F390214" w14:textId="77777777" w:rsidR="00F51D2B" w:rsidRDefault="007A3EB8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Muito baixo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19117596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4DD8B76F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0E020328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14:paraId="7E3FC33C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B2A1C7" w:themeFill="accent4" w:themeFillTint="99"/>
            <w:vAlign w:val="center"/>
          </w:tcPr>
          <w:p w14:paraId="6F31CD5B" w14:textId="77777777" w:rsidR="00F51D2B" w:rsidRDefault="007A3EB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F51D2B" w14:paraId="393884DA" w14:textId="77777777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2A78F8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B9AF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62331E27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5E18A51E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Raro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835FC3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4FDC350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Pouco Provável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63A9721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10C46FE8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05E37B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0BF4DB79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Muito Provável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4B94791D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19F7244E" w14:textId="77777777" w:rsidR="00F51D2B" w:rsidRDefault="007A3EB8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Praticamente certo</w:t>
            </w:r>
          </w:p>
        </w:tc>
      </w:tr>
      <w:tr w:rsidR="00F51D2B" w14:paraId="72F531B6" w14:textId="77777777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4D61BB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2829" w14:textId="77777777" w:rsidR="00F51D2B" w:rsidRDefault="00F51D2B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14:paraId="503095F1" w14:textId="77777777" w:rsidR="00F51D2B" w:rsidRDefault="007A3EB8">
            <w:pPr>
              <w:tabs>
                <w:tab w:val="left" w:pos="979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PROBABILIDADE</w:t>
            </w:r>
          </w:p>
        </w:tc>
      </w:tr>
    </w:tbl>
    <w:p w14:paraId="43811A4A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  <w:sectPr w:rsidR="00F51D2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532BA17" w14:textId="77777777" w:rsidR="00F51D2B" w:rsidRDefault="00F51D2B">
      <w:pPr>
        <w:jc w:val="both"/>
        <w:rPr>
          <w:rFonts w:ascii="Arial" w:hAnsi="Arial" w:cs="Arial"/>
          <w:sz w:val="20"/>
          <w:szCs w:val="20"/>
        </w:rPr>
      </w:pPr>
    </w:p>
    <w:p w14:paraId="7619CF0E" w14:textId="77777777" w:rsidR="00F51D2B" w:rsidRDefault="00F5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294FF5" w14:textId="77777777" w:rsidR="00F51D2B" w:rsidRDefault="007A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Responsável pela Elaboração</w:t>
      </w:r>
      <w:r>
        <w:rPr>
          <w:rFonts w:ascii="Arial" w:hAnsi="Arial" w:cs="Arial"/>
          <w:sz w:val="18"/>
          <w:szCs w:val="18"/>
        </w:rPr>
        <w:t>:</w:t>
      </w:r>
    </w:p>
    <w:p w14:paraId="66ED5E37" w14:textId="77777777" w:rsidR="00F51D2B" w:rsidRDefault="00F5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44599E" w14:textId="77777777" w:rsidR="00F51D2B" w:rsidRDefault="007A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Revisão: </w:t>
      </w:r>
    </w:p>
    <w:p w14:paraId="482EE2FB" w14:textId="77777777" w:rsidR="00F51D2B" w:rsidRDefault="00F5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0244B87" w14:textId="1B725F20" w:rsidR="00905E39" w:rsidRDefault="007A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da Elaboração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27CBBED" w14:textId="77777777" w:rsidR="00F51D2B" w:rsidRDefault="00F5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642630A" w14:textId="77777777" w:rsidR="00F51D2B" w:rsidRDefault="00F51D2B">
      <w:pPr>
        <w:rPr>
          <w:rFonts w:ascii="Arial" w:hAnsi="Arial" w:cs="Arial"/>
          <w:sz w:val="20"/>
          <w:szCs w:val="20"/>
        </w:rPr>
      </w:pPr>
    </w:p>
    <w:p w14:paraId="1BDE5EB6" w14:textId="77777777" w:rsidR="00F51D2B" w:rsidRDefault="00F51D2B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3CE42B0F" w14:textId="77777777" w:rsidR="00F51D2B" w:rsidRDefault="00F51D2B">
      <w:pPr>
        <w:spacing w:after="0" w:line="360" w:lineRule="auto"/>
        <w:jc w:val="both"/>
        <w:rPr>
          <w:rFonts w:ascii="Arial" w:hAnsi="Arial" w:cs="Arial"/>
        </w:rPr>
      </w:pPr>
    </w:p>
    <w:sectPr w:rsidR="00F51D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18" w:right="1134" w:bottom="1134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E86A" w14:textId="77777777" w:rsidR="00F51D2B" w:rsidRDefault="007A3EB8">
      <w:pPr>
        <w:spacing w:line="240" w:lineRule="auto"/>
      </w:pPr>
      <w:r>
        <w:separator/>
      </w:r>
    </w:p>
  </w:endnote>
  <w:endnote w:type="continuationSeparator" w:id="0">
    <w:p w14:paraId="7D36028A" w14:textId="77777777" w:rsidR="00F51D2B" w:rsidRDefault="007A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pranq eco sans">
    <w:altName w:val="Calibri"/>
    <w:charset w:val="00"/>
    <w:family w:val="swiss"/>
    <w:pitch w:val="default"/>
  </w:font>
  <w:font w:name="ArialMT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7B1C" w14:textId="77777777" w:rsidR="009261C5" w:rsidRDefault="009261C5" w:rsidP="009261C5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 w14:paraId="3EF7B1DF" w14:textId="77777777" w:rsidR="009261C5" w:rsidRDefault="009261C5" w:rsidP="009261C5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 xml:space="preserve">Av. General Carlos Cavalcanti, 4748 - CEP 84030-900 - Ponta Grossa/PR - Fone:(42)3220-3000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3F38" w14:textId="34BA5DA3" w:rsidR="00F51D2B" w:rsidRDefault="009261C5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 w14:paraId="60592E5E" w14:textId="778F0208" w:rsidR="00F51D2B" w:rsidRDefault="007A3EB8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>A</w:t>
    </w:r>
    <w:r w:rsidR="009261C5">
      <w:rPr>
        <w:color w:val="808080"/>
        <w:sz w:val="16"/>
      </w:rPr>
      <w:t>v</w:t>
    </w:r>
    <w:r>
      <w:rPr>
        <w:color w:val="808080"/>
        <w:sz w:val="16"/>
      </w:rPr>
      <w:t xml:space="preserve">. </w:t>
    </w:r>
    <w:r w:rsidR="009261C5">
      <w:rPr>
        <w:color w:val="808080"/>
        <w:sz w:val="16"/>
      </w:rPr>
      <w:t>General Carlos Cavalcanti</w:t>
    </w:r>
    <w:r>
      <w:rPr>
        <w:color w:val="808080"/>
        <w:sz w:val="16"/>
      </w:rPr>
      <w:t xml:space="preserve">, </w:t>
    </w:r>
    <w:r w:rsidR="009261C5">
      <w:rPr>
        <w:color w:val="808080"/>
        <w:sz w:val="16"/>
      </w:rPr>
      <w:t xml:space="preserve">4748 </w:t>
    </w:r>
    <w:r>
      <w:rPr>
        <w:color w:val="808080"/>
        <w:sz w:val="16"/>
      </w:rPr>
      <w:t>- CEP 84</w:t>
    </w:r>
    <w:r w:rsidR="009261C5">
      <w:rPr>
        <w:color w:val="808080"/>
        <w:sz w:val="16"/>
      </w:rPr>
      <w:t>030</w:t>
    </w:r>
    <w:r>
      <w:rPr>
        <w:color w:val="808080"/>
        <w:sz w:val="16"/>
      </w:rPr>
      <w:t>-</w:t>
    </w:r>
    <w:r w:rsidR="009261C5">
      <w:rPr>
        <w:color w:val="808080"/>
        <w:sz w:val="16"/>
      </w:rPr>
      <w:t>90</w:t>
    </w:r>
    <w:r>
      <w:rPr>
        <w:color w:val="808080"/>
        <w:sz w:val="16"/>
      </w:rPr>
      <w:t>0 - Ponta Grossa/PR - Fone:(42)32</w:t>
    </w:r>
    <w:r w:rsidR="009261C5">
      <w:rPr>
        <w:color w:val="808080"/>
        <w:sz w:val="16"/>
      </w:rPr>
      <w:t>20</w:t>
    </w:r>
    <w:r>
      <w:rPr>
        <w:color w:val="808080"/>
        <w:sz w:val="16"/>
      </w:rPr>
      <w:t>-</w:t>
    </w:r>
    <w:r w:rsidR="009261C5">
      <w:rPr>
        <w:color w:val="808080"/>
        <w:sz w:val="16"/>
      </w:rPr>
      <w:t>3000</w:t>
    </w:r>
    <w:r>
      <w:rPr>
        <w:color w:val="808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9B9" w14:textId="77777777" w:rsidR="00F51D2B" w:rsidRDefault="00F51D2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091C" w14:textId="77777777" w:rsidR="009261C5" w:rsidRDefault="009261C5" w:rsidP="009261C5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 w14:paraId="526A45EC" w14:textId="77777777" w:rsidR="009261C5" w:rsidRDefault="009261C5" w:rsidP="009261C5">
    <w:pPr>
      <w:pStyle w:val="Rodap"/>
      <w:pBdr>
        <w:top w:val="single" w:sz="6" w:space="1" w:color="auto"/>
      </w:pBdr>
      <w:jc w:val="center"/>
      <w:rPr>
        <w:color w:val="808080"/>
        <w:sz w:val="16"/>
      </w:rPr>
    </w:pPr>
    <w:r>
      <w:rPr>
        <w:color w:val="808080"/>
        <w:sz w:val="16"/>
      </w:rPr>
      <w:t xml:space="preserve">Av. General Carlos Cavalcanti, 4748 - CEP 84030-900 - Ponta Grossa/PR - Fone:(42)3220-3000 </w:t>
    </w:r>
  </w:p>
  <w:p w14:paraId="0B087DE1" w14:textId="77777777" w:rsidR="00F51D2B" w:rsidRDefault="00F51D2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81F3" w14:textId="77777777" w:rsidR="00F51D2B" w:rsidRDefault="00F51D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A81B" w14:textId="77777777" w:rsidR="00F51D2B" w:rsidRDefault="007A3EB8">
      <w:pPr>
        <w:spacing w:after="0"/>
      </w:pPr>
      <w:r>
        <w:separator/>
      </w:r>
    </w:p>
  </w:footnote>
  <w:footnote w:type="continuationSeparator" w:id="0">
    <w:p w14:paraId="62348897" w14:textId="77777777" w:rsidR="00F51D2B" w:rsidRDefault="007A3EB8">
      <w:pPr>
        <w:spacing w:after="0"/>
      </w:pPr>
      <w:r>
        <w:continuationSeparator/>
      </w:r>
    </w:p>
  </w:footnote>
  <w:footnote w:id="1">
    <w:p w14:paraId="18B60683" w14:textId="77777777" w:rsidR="00F51D2B" w:rsidRDefault="007A3EB8">
      <w:pPr>
        <w:pStyle w:val="Textodenotaderodap"/>
      </w:pPr>
      <w:r>
        <w:rPr>
          <w:rStyle w:val="Refdenotaderodap"/>
        </w:rPr>
        <w:footnoteRef/>
      </w:r>
      <w:r>
        <w:t xml:space="preserve"> As notas explicativas são meramente orientativas e devem ser retiradas do ETP ao enviar ao setor de Compras. </w:t>
      </w:r>
    </w:p>
  </w:footnote>
  <w:footnote w:id="2">
    <w:p w14:paraId="1A24919B" w14:textId="77777777" w:rsidR="00F51D2B" w:rsidRDefault="007A3EB8">
      <w:pPr>
        <w:pStyle w:val="Textodenotaderodap"/>
      </w:pPr>
      <w:r>
        <w:rPr>
          <w:rStyle w:val="Refdenotaderodap"/>
        </w:rPr>
        <w:footnoteRef/>
      </w:r>
      <w:r>
        <w:t xml:space="preserve"> Fato superveniente é um fato não previsível ou previsível de </w:t>
      </w:r>
      <w:proofErr w:type="spellStart"/>
      <w:r>
        <w:t>conseqüências</w:t>
      </w:r>
      <w:proofErr w:type="spellEnd"/>
      <w:r>
        <w:t xml:space="preserve"> incalculáveis.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7CFE" w14:textId="77777777" w:rsidR="00F51D2B" w:rsidRDefault="007A3EB8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  <w:r>
      <w:rPr>
        <w:rFonts w:ascii="Arial" w:hAnsi="Arial"/>
        <w:b/>
        <w:color w:val="808080"/>
        <w:sz w:val="14"/>
        <w:szCs w:val="28"/>
        <w:lang w:eastAsia="pt-BR"/>
      </w:rPr>
      <w:t xml:space="preserve">                                               </w:t>
    </w:r>
  </w:p>
  <w:p w14:paraId="0AC6D646" w14:textId="77777777" w:rsidR="00F51D2B" w:rsidRDefault="00F51D2B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</w:p>
  <w:p w14:paraId="0916DF2D" w14:textId="77777777" w:rsidR="00F51D2B" w:rsidRDefault="00F51D2B">
    <w:pPr>
      <w:pStyle w:val="Cabealho"/>
      <w:tabs>
        <w:tab w:val="clear" w:pos="46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9F71" w14:textId="77777777" w:rsidR="00F51D2B" w:rsidRDefault="007A3EB8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eastAsia="pt-BR"/>
      </w:rPr>
      <w:drawing>
        <wp:inline distT="0" distB="0" distL="0" distR="0" wp14:anchorId="43D5141E" wp14:editId="60718A9A">
          <wp:extent cx="1483995" cy="871220"/>
          <wp:effectExtent l="19050" t="0" r="1414" b="0"/>
          <wp:docPr id="6" name="Imagem 4" descr="Logo duas cores_fundo transparente_frase abaix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Logo duas cores_fundo transparente_frase abaix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853" cy="87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8AF5378" w14:textId="77777777" w:rsidR="00F51D2B" w:rsidRDefault="00F51D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1A88" w14:textId="77777777" w:rsidR="00F51D2B" w:rsidRDefault="00F51D2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6003" w14:textId="35327AA2" w:rsidR="00F51D2B" w:rsidRDefault="007A3EB8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  <w:r>
      <w:rPr>
        <w:rFonts w:ascii="Arial" w:hAnsi="Arial"/>
        <w:b/>
        <w:noProof/>
        <w:color w:val="808080"/>
        <w:sz w:val="14"/>
        <w:szCs w:val="28"/>
        <w:lang w:eastAsia="pt-BR"/>
      </w:rPr>
      <w:drawing>
        <wp:inline distT="0" distB="0" distL="0" distR="0" wp14:anchorId="7EDF2FA0" wp14:editId="53330CBA">
          <wp:extent cx="2950210" cy="621030"/>
          <wp:effectExtent l="19050" t="0" r="2540" b="0"/>
          <wp:docPr id="3" name="Imagem 1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 duas cores_fundo transparente_ frase later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021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808080"/>
        <w:sz w:val="14"/>
        <w:szCs w:val="28"/>
        <w:lang w:eastAsia="pt-BR"/>
      </w:rPr>
      <w:t xml:space="preserve">                                               </w:t>
    </w:r>
  </w:p>
  <w:p w14:paraId="477E310D" w14:textId="77777777" w:rsidR="00F51D2B" w:rsidRDefault="00F51D2B">
    <w:pPr>
      <w:pStyle w:val="Cabealho"/>
      <w:tabs>
        <w:tab w:val="clear" w:pos="9360"/>
        <w:tab w:val="right" w:pos="9639"/>
      </w:tabs>
      <w:rPr>
        <w:rFonts w:ascii="Arial" w:hAnsi="Arial"/>
        <w:b/>
        <w:color w:val="808080"/>
        <w:sz w:val="14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0C5B" w14:textId="77777777" w:rsidR="00F51D2B" w:rsidRDefault="00F51D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2D0"/>
    <w:multiLevelType w:val="multilevel"/>
    <w:tmpl w:val="1EF842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627C"/>
    <w:multiLevelType w:val="multilevel"/>
    <w:tmpl w:val="236A6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E165A2"/>
    <w:multiLevelType w:val="multilevel"/>
    <w:tmpl w:val="76E165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535541242">
    <w:abstractNumId w:val="1"/>
  </w:num>
  <w:num w:numId="2" w16cid:durableId="576943841">
    <w:abstractNumId w:val="2"/>
  </w:num>
  <w:num w:numId="3" w16cid:durableId="108314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F3"/>
    <w:rsid w:val="000033F1"/>
    <w:rsid w:val="000179C0"/>
    <w:rsid w:val="00026065"/>
    <w:rsid w:val="0003596E"/>
    <w:rsid w:val="00054DF6"/>
    <w:rsid w:val="00055D7F"/>
    <w:rsid w:val="00060E75"/>
    <w:rsid w:val="0006792D"/>
    <w:rsid w:val="000803E4"/>
    <w:rsid w:val="00084337"/>
    <w:rsid w:val="000864B2"/>
    <w:rsid w:val="00087D6A"/>
    <w:rsid w:val="000936A9"/>
    <w:rsid w:val="0009608A"/>
    <w:rsid w:val="000A6A1C"/>
    <w:rsid w:val="000C6DFE"/>
    <w:rsid w:val="000D02F7"/>
    <w:rsid w:val="000D14EA"/>
    <w:rsid w:val="000D15BD"/>
    <w:rsid w:val="000E48FD"/>
    <w:rsid w:val="000F0B32"/>
    <w:rsid w:val="00103375"/>
    <w:rsid w:val="00104D1A"/>
    <w:rsid w:val="00105384"/>
    <w:rsid w:val="00123830"/>
    <w:rsid w:val="001260A0"/>
    <w:rsid w:val="00154EA8"/>
    <w:rsid w:val="001556AB"/>
    <w:rsid w:val="00156059"/>
    <w:rsid w:val="00156157"/>
    <w:rsid w:val="0016170B"/>
    <w:rsid w:val="00167A88"/>
    <w:rsid w:val="001770EF"/>
    <w:rsid w:val="0019628B"/>
    <w:rsid w:val="001A1D95"/>
    <w:rsid w:val="001B08AA"/>
    <w:rsid w:val="001C1426"/>
    <w:rsid w:val="001C534C"/>
    <w:rsid w:val="001D1CE4"/>
    <w:rsid w:val="001D6FB5"/>
    <w:rsid w:val="001F1DD0"/>
    <w:rsid w:val="00216F44"/>
    <w:rsid w:val="0022434D"/>
    <w:rsid w:val="00224CAE"/>
    <w:rsid w:val="00234D73"/>
    <w:rsid w:val="00246DDF"/>
    <w:rsid w:val="002574C4"/>
    <w:rsid w:val="002617E2"/>
    <w:rsid w:val="002737DF"/>
    <w:rsid w:val="002A1DDD"/>
    <w:rsid w:val="002C5E36"/>
    <w:rsid w:val="002C6E64"/>
    <w:rsid w:val="002D5D8E"/>
    <w:rsid w:val="002E0862"/>
    <w:rsid w:val="002F1EF8"/>
    <w:rsid w:val="00317712"/>
    <w:rsid w:val="00333015"/>
    <w:rsid w:val="00341B46"/>
    <w:rsid w:val="00355758"/>
    <w:rsid w:val="0036251F"/>
    <w:rsid w:val="00374083"/>
    <w:rsid w:val="003767B3"/>
    <w:rsid w:val="0038601E"/>
    <w:rsid w:val="0039450A"/>
    <w:rsid w:val="00395A09"/>
    <w:rsid w:val="003A467C"/>
    <w:rsid w:val="003B233A"/>
    <w:rsid w:val="003B5EB6"/>
    <w:rsid w:val="003C03EB"/>
    <w:rsid w:val="003D6898"/>
    <w:rsid w:val="003F0B43"/>
    <w:rsid w:val="003F36FD"/>
    <w:rsid w:val="0042557C"/>
    <w:rsid w:val="004344A9"/>
    <w:rsid w:val="00436890"/>
    <w:rsid w:val="00440BA1"/>
    <w:rsid w:val="004517DF"/>
    <w:rsid w:val="0045203D"/>
    <w:rsid w:val="00461AD5"/>
    <w:rsid w:val="00464ADB"/>
    <w:rsid w:val="00471655"/>
    <w:rsid w:val="00474D37"/>
    <w:rsid w:val="00477F96"/>
    <w:rsid w:val="004824A7"/>
    <w:rsid w:val="0048709A"/>
    <w:rsid w:val="00490E16"/>
    <w:rsid w:val="004A6471"/>
    <w:rsid w:val="004B1E1E"/>
    <w:rsid w:val="004B4EBE"/>
    <w:rsid w:val="004D160A"/>
    <w:rsid w:val="004D62E7"/>
    <w:rsid w:val="00511C31"/>
    <w:rsid w:val="005121AA"/>
    <w:rsid w:val="00513155"/>
    <w:rsid w:val="005302AE"/>
    <w:rsid w:val="0054315C"/>
    <w:rsid w:val="005726B5"/>
    <w:rsid w:val="005A4EBA"/>
    <w:rsid w:val="005D6020"/>
    <w:rsid w:val="005E41AC"/>
    <w:rsid w:val="005F0F3B"/>
    <w:rsid w:val="00604EAE"/>
    <w:rsid w:val="006112E6"/>
    <w:rsid w:val="00613A08"/>
    <w:rsid w:val="00636C65"/>
    <w:rsid w:val="00662215"/>
    <w:rsid w:val="006676FC"/>
    <w:rsid w:val="006677AD"/>
    <w:rsid w:val="006812AE"/>
    <w:rsid w:val="00684AEC"/>
    <w:rsid w:val="00692D2A"/>
    <w:rsid w:val="00694179"/>
    <w:rsid w:val="00696D9D"/>
    <w:rsid w:val="006A2D15"/>
    <w:rsid w:val="006C112F"/>
    <w:rsid w:val="006D7929"/>
    <w:rsid w:val="006F6271"/>
    <w:rsid w:val="006F6707"/>
    <w:rsid w:val="007140D9"/>
    <w:rsid w:val="00723035"/>
    <w:rsid w:val="007278A0"/>
    <w:rsid w:val="00735FD5"/>
    <w:rsid w:val="00736DCB"/>
    <w:rsid w:val="00740AC2"/>
    <w:rsid w:val="007643C3"/>
    <w:rsid w:val="00795C6F"/>
    <w:rsid w:val="007A3EB8"/>
    <w:rsid w:val="007A6AFA"/>
    <w:rsid w:val="007A730B"/>
    <w:rsid w:val="007B04CB"/>
    <w:rsid w:val="007C4DED"/>
    <w:rsid w:val="007C7BA9"/>
    <w:rsid w:val="007D0868"/>
    <w:rsid w:val="007D330C"/>
    <w:rsid w:val="007D776A"/>
    <w:rsid w:val="007E7163"/>
    <w:rsid w:val="008027BF"/>
    <w:rsid w:val="008106B2"/>
    <w:rsid w:val="00812E9B"/>
    <w:rsid w:val="00831556"/>
    <w:rsid w:val="00840286"/>
    <w:rsid w:val="0084223A"/>
    <w:rsid w:val="00843F2A"/>
    <w:rsid w:val="008440E6"/>
    <w:rsid w:val="008479BA"/>
    <w:rsid w:val="00862E6C"/>
    <w:rsid w:val="00866A8F"/>
    <w:rsid w:val="00866C08"/>
    <w:rsid w:val="00866DA4"/>
    <w:rsid w:val="00882FD7"/>
    <w:rsid w:val="00884DB0"/>
    <w:rsid w:val="008862EA"/>
    <w:rsid w:val="00891C09"/>
    <w:rsid w:val="008932F4"/>
    <w:rsid w:val="008A2CC6"/>
    <w:rsid w:val="008C13CD"/>
    <w:rsid w:val="008C4A90"/>
    <w:rsid w:val="008E62E1"/>
    <w:rsid w:val="008E7D71"/>
    <w:rsid w:val="008F4EF6"/>
    <w:rsid w:val="009015B0"/>
    <w:rsid w:val="00905E39"/>
    <w:rsid w:val="009261C5"/>
    <w:rsid w:val="00991162"/>
    <w:rsid w:val="0099321B"/>
    <w:rsid w:val="009A053B"/>
    <w:rsid w:val="009A0909"/>
    <w:rsid w:val="009A34AE"/>
    <w:rsid w:val="009A7286"/>
    <w:rsid w:val="009C48DB"/>
    <w:rsid w:val="009C6BEC"/>
    <w:rsid w:val="009D6F2A"/>
    <w:rsid w:val="009E020E"/>
    <w:rsid w:val="009E484A"/>
    <w:rsid w:val="009F13E2"/>
    <w:rsid w:val="00A110DC"/>
    <w:rsid w:val="00A260E2"/>
    <w:rsid w:val="00A40AA3"/>
    <w:rsid w:val="00A41371"/>
    <w:rsid w:val="00A473AC"/>
    <w:rsid w:val="00A51A58"/>
    <w:rsid w:val="00A87D3F"/>
    <w:rsid w:val="00AA098D"/>
    <w:rsid w:val="00AA156C"/>
    <w:rsid w:val="00AA5765"/>
    <w:rsid w:val="00AC2176"/>
    <w:rsid w:val="00AC3F6B"/>
    <w:rsid w:val="00AC6184"/>
    <w:rsid w:val="00AE4078"/>
    <w:rsid w:val="00AF0872"/>
    <w:rsid w:val="00B14CC1"/>
    <w:rsid w:val="00B155FA"/>
    <w:rsid w:val="00B2234A"/>
    <w:rsid w:val="00B40069"/>
    <w:rsid w:val="00B47EBA"/>
    <w:rsid w:val="00B80A4F"/>
    <w:rsid w:val="00B822C7"/>
    <w:rsid w:val="00BA0443"/>
    <w:rsid w:val="00BA2BCC"/>
    <w:rsid w:val="00BA553B"/>
    <w:rsid w:val="00BC38A4"/>
    <w:rsid w:val="00BD0780"/>
    <w:rsid w:val="00BD7755"/>
    <w:rsid w:val="00BE6924"/>
    <w:rsid w:val="00C121BD"/>
    <w:rsid w:val="00C17452"/>
    <w:rsid w:val="00C17902"/>
    <w:rsid w:val="00C22B01"/>
    <w:rsid w:val="00C27F68"/>
    <w:rsid w:val="00C53353"/>
    <w:rsid w:val="00C70AF7"/>
    <w:rsid w:val="00C8204C"/>
    <w:rsid w:val="00C93616"/>
    <w:rsid w:val="00C94011"/>
    <w:rsid w:val="00CA00C6"/>
    <w:rsid w:val="00CB2BED"/>
    <w:rsid w:val="00CB6467"/>
    <w:rsid w:val="00CC2DDC"/>
    <w:rsid w:val="00CC439C"/>
    <w:rsid w:val="00CC44A5"/>
    <w:rsid w:val="00CC60BF"/>
    <w:rsid w:val="00CD354C"/>
    <w:rsid w:val="00CD7949"/>
    <w:rsid w:val="00CE579F"/>
    <w:rsid w:val="00CF2440"/>
    <w:rsid w:val="00CF2ECD"/>
    <w:rsid w:val="00CF51F3"/>
    <w:rsid w:val="00D04834"/>
    <w:rsid w:val="00D059E0"/>
    <w:rsid w:val="00D14561"/>
    <w:rsid w:val="00D22D6B"/>
    <w:rsid w:val="00D231EF"/>
    <w:rsid w:val="00D36D8C"/>
    <w:rsid w:val="00D420FA"/>
    <w:rsid w:val="00D43315"/>
    <w:rsid w:val="00D644A1"/>
    <w:rsid w:val="00DA57BC"/>
    <w:rsid w:val="00DB5C0B"/>
    <w:rsid w:val="00DD2603"/>
    <w:rsid w:val="00DD384C"/>
    <w:rsid w:val="00DD4F8B"/>
    <w:rsid w:val="00DE72F3"/>
    <w:rsid w:val="00DE74BD"/>
    <w:rsid w:val="00DE79AA"/>
    <w:rsid w:val="00DF0FFB"/>
    <w:rsid w:val="00DF22A0"/>
    <w:rsid w:val="00DF3068"/>
    <w:rsid w:val="00E070B6"/>
    <w:rsid w:val="00E31B46"/>
    <w:rsid w:val="00E51786"/>
    <w:rsid w:val="00E54143"/>
    <w:rsid w:val="00E5792B"/>
    <w:rsid w:val="00E61C99"/>
    <w:rsid w:val="00E81B8E"/>
    <w:rsid w:val="00E84E42"/>
    <w:rsid w:val="00E858F0"/>
    <w:rsid w:val="00E94529"/>
    <w:rsid w:val="00EA052C"/>
    <w:rsid w:val="00EB16C0"/>
    <w:rsid w:val="00EB1B0E"/>
    <w:rsid w:val="00EB1EFB"/>
    <w:rsid w:val="00EC61FC"/>
    <w:rsid w:val="00EC6CEE"/>
    <w:rsid w:val="00ED56A7"/>
    <w:rsid w:val="00EE513D"/>
    <w:rsid w:val="00EF4B5D"/>
    <w:rsid w:val="00EF67E7"/>
    <w:rsid w:val="00EF6828"/>
    <w:rsid w:val="00F1241F"/>
    <w:rsid w:val="00F22F86"/>
    <w:rsid w:val="00F35223"/>
    <w:rsid w:val="00F4267A"/>
    <w:rsid w:val="00F4432F"/>
    <w:rsid w:val="00F44678"/>
    <w:rsid w:val="00F51D2B"/>
    <w:rsid w:val="00F54538"/>
    <w:rsid w:val="00F604F2"/>
    <w:rsid w:val="00F6373E"/>
    <w:rsid w:val="00F64C18"/>
    <w:rsid w:val="00F65B6D"/>
    <w:rsid w:val="00F76A6F"/>
    <w:rsid w:val="00F851BA"/>
    <w:rsid w:val="00F86334"/>
    <w:rsid w:val="00F960C4"/>
    <w:rsid w:val="00FA05D6"/>
    <w:rsid w:val="00FB2230"/>
    <w:rsid w:val="00FB4428"/>
    <w:rsid w:val="00FB72A4"/>
    <w:rsid w:val="00FC7253"/>
    <w:rsid w:val="00FD274A"/>
    <w:rsid w:val="00FD6C8D"/>
    <w:rsid w:val="00FE0B47"/>
    <w:rsid w:val="231434BF"/>
    <w:rsid w:val="7C6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20DA45"/>
  <w15:docId w15:val="{B8B7F5E7-8CCE-4054-B8C0-E7B2E62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2">
    <w:name w:val="Body Text 2"/>
    <w:basedOn w:val="Normal"/>
    <w:link w:val="Corpodetexto2Char"/>
    <w:qFormat/>
    <w:pPr>
      <w:spacing w:after="0" w:line="240" w:lineRule="auto"/>
      <w:jc w:val="both"/>
    </w:pPr>
    <w:rPr>
      <w:rFonts w:ascii="Arial Narrow" w:eastAsia="Times New Roman" w:hAnsi="Arial Narrow"/>
      <w:color w:val="00008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Pr>
      <w:lang w:val="pt-BR"/>
    </w:rPr>
  </w:style>
  <w:style w:type="paragraph" w:customStyle="1" w:styleId="NoSpellcheck">
    <w:name w:val="NoSpellcheck"/>
    <w:rPr>
      <w:rFonts w:ascii="Arial" w:eastAsia="Times New Roman" w:hAnsi="Arial"/>
      <w:sz w:val="12"/>
      <w:lang w:val="en-GB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Style">
    <w:name w:val="TableStyle"/>
    <w:pPr>
      <w:ind w:left="85"/>
    </w:pPr>
    <w:rPr>
      <w:rFonts w:ascii="Arial" w:eastAsia="Times New Roman" w:hAnsi="Arial"/>
      <w:sz w:val="22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Pr>
      <w:rFonts w:ascii="Arial Narrow" w:eastAsia="Times New Roman" w:hAnsi="Arial Narrow"/>
      <w:color w:val="000080"/>
      <w:sz w:val="28"/>
    </w:rPr>
  </w:style>
  <w:style w:type="table" w:customStyle="1" w:styleId="SombreamentoClaro1">
    <w:name w:val="Sombreamento Claro1"/>
    <w:basedOn w:val="Tabela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character" w:customStyle="1" w:styleId="markedcontent">
    <w:name w:val="markedcontent"/>
    <w:basedOn w:val="Fontepargpadro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cs="Calibri"/>
      <w:kern w:val="1"/>
      <w:lang w:eastAsia="zh-CN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szCs w:val="22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table" w:customStyle="1" w:styleId="Tabelacomgrade1">
    <w:name w:val="Tabela com grade1"/>
    <w:basedOn w:val="Tabelanormal"/>
    <w:uiPriority w:val="39"/>
    <w:qFormat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373E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legislacao.pr.gov.br/legislacao/pesquisarAto.do?action=exibir&amp;codAto=259084&amp;indice=1&amp;totalRegistros=1&amp;dt=12.6.2022.14.10.41.50/art.1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SGQ\Modelos\Modelo%20Formul&#225;rio%20-%20retrato%20-%20nova%20lo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E20-B872-4DCD-896E-F068B2C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Formulário - retrato - nova logo</Template>
  <TotalTime>182</TotalTime>
  <Pages>11</Pages>
  <Words>3453</Words>
  <Characters>18650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HRPG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daniele.brasil</dc:creator>
  <cp:lastModifiedBy>Jonathan Soek</cp:lastModifiedBy>
  <cp:revision>48</cp:revision>
  <cp:lastPrinted>2022-08-18T15:27:00Z</cp:lastPrinted>
  <dcterms:created xsi:type="dcterms:W3CDTF">2023-03-02T13:33:00Z</dcterms:created>
  <dcterms:modified xsi:type="dcterms:W3CDTF">2023-09-14T12:43:00Z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B4708283089C4505BD5157146CE3159F</vt:lpwstr>
  </property>
</Properties>
</file>