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84246" w:rsidRPr="00484246" w:rsidTr="00484246">
        <w:trPr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484246" w:rsidRPr="00484246" w:rsidRDefault="00484246" w:rsidP="00484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484246">
              <w:rPr>
                <w:rFonts w:ascii="Arial" w:eastAsia="Times New Roman" w:hAnsi="Arial" w:cs="Arial"/>
                <w:b/>
                <w:bCs/>
                <w:color w:val="1C7A5F"/>
                <w:sz w:val="20"/>
                <w:szCs w:val="20"/>
                <w:lang w:val="en-US" w:eastAsia="pt-BR"/>
              </w:rPr>
              <w:t xml:space="preserve">ISHS </w:t>
            </w:r>
            <w:proofErr w:type="spellStart"/>
            <w:r w:rsidRPr="00484246">
              <w:rPr>
                <w:rFonts w:ascii="Arial" w:eastAsia="Times New Roman" w:hAnsi="Arial" w:cs="Arial"/>
                <w:b/>
                <w:bCs/>
                <w:color w:val="1C7A5F"/>
                <w:sz w:val="20"/>
                <w:szCs w:val="20"/>
                <w:lang w:val="en-US" w:eastAsia="pt-BR"/>
              </w:rPr>
              <w:t>Acta</w:t>
            </w:r>
            <w:proofErr w:type="spellEnd"/>
            <w:r w:rsidRPr="00484246">
              <w:rPr>
                <w:rFonts w:ascii="Arial" w:eastAsia="Times New Roman" w:hAnsi="Arial" w:cs="Arial"/>
                <w:b/>
                <w:bCs/>
                <w:color w:val="1C7A5F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484246">
              <w:rPr>
                <w:rFonts w:ascii="Arial" w:eastAsia="Times New Roman" w:hAnsi="Arial" w:cs="Arial"/>
                <w:b/>
                <w:bCs/>
                <w:color w:val="1C7A5F"/>
                <w:sz w:val="20"/>
                <w:szCs w:val="20"/>
                <w:lang w:val="en-US" w:eastAsia="pt-BR"/>
              </w:rPr>
              <w:t>Horticulturae</w:t>
            </w:r>
            <w:proofErr w:type="spellEnd"/>
            <w:r w:rsidRPr="00484246">
              <w:rPr>
                <w:rFonts w:ascii="Arial" w:eastAsia="Times New Roman" w:hAnsi="Arial" w:cs="Arial"/>
                <w:b/>
                <w:bCs/>
                <w:color w:val="1C7A5F"/>
                <w:sz w:val="20"/>
                <w:szCs w:val="20"/>
                <w:lang w:val="en-US" w:eastAsia="pt-BR"/>
              </w:rPr>
              <w:t xml:space="preserve"> 1113:</w:t>
            </w:r>
            <w:r w:rsidRPr="00484246">
              <w:rPr>
                <w:rFonts w:ascii="Arial" w:eastAsia="Times New Roman" w:hAnsi="Arial" w:cs="Arial"/>
                <w:sz w:val="20"/>
                <w:lang w:val="en-US" w:eastAsia="pt-BR"/>
              </w:rPr>
              <w:t> </w:t>
            </w:r>
            <w:r w:rsidRPr="004842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XXIX International Horticultural Congress on Horticulture: Sustaining Lives, Livelihoods and Landscapes (IHC2014): International Symposium on </w:t>
            </w:r>
            <w:proofErr w:type="spellStart"/>
            <w:r w:rsidRPr="004842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Micropropagation</w:t>
            </w:r>
            <w:proofErr w:type="spellEnd"/>
            <w:r w:rsidRPr="004842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 and In Vitro Techniques</w:t>
            </w:r>
          </w:p>
          <w:p w:rsidR="00484246" w:rsidRPr="00484246" w:rsidRDefault="00484246" w:rsidP="00484246">
            <w:pPr>
              <w:spacing w:before="6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pt-BR"/>
              </w:rPr>
            </w:pPr>
            <w:r w:rsidRPr="00484246">
              <w:rPr>
                <w:rFonts w:ascii="Arial" w:eastAsia="Times New Roman" w:hAnsi="Arial" w:cs="Arial"/>
                <w:b/>
                <w:bCs/>
                <w:color w:val="1C7A5F"/>
                <w:sz w:val="36"/>
                <w:szCs w:val="36"/>
                <w:lang w:val="en-US" w:eastAsia="pt-BR"/>
              </w:rPr>
              <w:t xml:space="preserve">Organogenesis inhibition of strawberry, cultivar 'Festival', by the </w:t>
            </w:r>
            <w:proofErr w:type="spellStart"/>
            <w:r w:rsidRPr="00484246">
              <w:rPr>
                <w:rFonts w:ascii="Arial" w:eastAsia="Times New Roman" w:hAnsi="Arial" w:cs="Arial"/>
                <w:b/>
                <w:bCs/>
                <w:color w:val="1C7A5F"/>
                <w:sz w:val="36"/>
                <w:szCs w:val="36"/>
                <w:lang w:val="en-US" w:eastAsia="pt-BR"/>
              </w:rPr>
              <w:t>kanamycin</w:t>
            </w:r>
            <w:proofErr w:type="spellEnd"/>
            <w:r w:rsidRPr="00484246">
              <w:rPr>
                <w:rFonts w:ascii="Arial" w:eastAsia="Times New Roman" w:hAnsi="Arial" w:cs="Arial"/>
                <w:b/>
                <w:bCs/>
                <w:color w:val="1C7A5F"/>
                <w:sz w:val="36"/>
                <w:szCs w:val="36"/>
                <w:lang w:val="en-US" w:eastAsia="pt-BR"/>
              </w:rPr>
              <w:t xml:space="preserve"> antibiotic</w:t>
            </w:r>
          </w:p>
        </w:tc>
      </w:tr>
    </w:tbl>
    <w:p w:rsidR="00484246" w:rsidRPr="00484246" w:rsidRDefault="00484246" w:rsidP="004842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21"/>
        <w:gridCol w:w="7143"/>
      </w:tblGrid>
      <w:tr w:rsidR="00484246" w:rsidRPr="00484246" w:rsidTr="00484246">
        <w:trPr>
          <w:tblCellSpacing w:w="0" w:type="dxa"/>
        </w:trPr>
        <w:tc>
          <w:tcPr>
            <w:tcW w:w="600" w:type="pct"/>
            <w:shd w:val="clear" w:color="auto" w:fill="FFFFFF"/>
            <w:hideMark/>
          </w:tcPr>
          <w:p w:rsidR="00484246" w:rsidRPr="00484246" w:rsidRDefault="00484246" w:rsidP="00484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8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Authors</w:t>
            </w:r>
            <w:proofErr w:type="spellEnd"/>
            <w:r w:rsidRPr="0048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4400" w:type="pct"/>
            <w:shd w:val="clear" w:color="auto" w:fill="FFFFFF"/>
            <w:hideMark/>
          </w:tcPr>
          <w:p w:rsidR="00484246" w:rsidRPr="00484246" w:rsidRDefault="00484246" w:rsidP="00484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R.A.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Ayub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L. Reis</w:t>
            </w:r>
          </w:p>
        </w:tc>
      </w:tr>
      <w:tr w:rsidR="00484246" w:rsidRPr="00484246" w:rsidTr="00484246">
        <w:trPr>
          <w:tblCellSpacing w:w="0" w:type="dxa"/>
        </w:trPr>
        <w:tc>
          <w:tcPr>
            <w:tcW w:w="600" w:type="pct"/>
            <w:shd w:val="clear" w:color="auto" w:fill="FFFFFF"/>
            <w:hideMark/>
          </w:tcPr>
          <w:p w:rsidR="00484246" w:rsidRPr="00484246" w:rsidRDefault="00484246" w:rsidP="00484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8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Keywords</w:t>
            </w:r>
            <w:proofErr w:type="spellEnd"/>
            <w:r w:rsidRPr="0048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4400" w:type="pct"/>
            <w:shd w:val="clear" w:color="auto" w:fill="FFFFFF"/>
            <w:hideMark/>
          </w:tcPr>
          <w:p w:rsidR="00484246" w:rsidRPr="00484246" w:rsidRDefault="00484246" w:rsidP="00484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42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 xml:space="preserve">Fragaria </w:t>
            </w:r>
            <w:proofErr w:type="spellStart"/>
            <w:r w:rsidRPr="004842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ananassa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antibiotics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resistance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regeneration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NPTII gene,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genetic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transformation</w:t>
            </w:r>
            <w:proofErr w:type="spellEnd"/>
            <w:proofErr w:type="gramEnd"/>
          </w:p>
        </w:tc>
      </w:tr>
      <w:tr w:rsidR="00484246" w:rsidRPr="00484246" w:rsidTr="00484246">
        <w:trPr>
          <w:tblCellSpacing w:w="0" w:type="dxa"/>
        </w:trPr>
        <w:tc>
          <w:tcPr>
            <w:tcW w:w="600" w:type="pct"/>
            <w:shd w:val="clear" w:color="auto" w:fill="FFFFFF"/>
            <w:hideMark/>
          </w:tcPr>
          <w:p w:rsidR="00484246" w:rsidRPr="00484246" w:rsidRDefault="00484246" w:rsidP="00484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DOI: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4400" w:type="pct"/>
            <w:shd w:val="clear" w:color="auto" w:fill="FFFFFF"/>
            <w:hideMark/>
          </w:tcPr>
          <w:p w:rsidR="00484246" w:rsidRPr="00484246" w:rsidRDefault="00484246" w:rsidP="00484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4" w:history="1">
              <w:r w:rsidRPr="0048424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pt-BR"/>
                </w:rPr>
                <w:t>10.17660/</w:t>
              </w:r>
              <w:proofErr w:type="spellStart"/>
              <w:proofErr w:type="gramStart"/>
              <w:r w:rsidRPr="0048424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pt-BR"/>
                </w:rPr>
                <w:t>ActaHortic</w:t>
              </w:r>
              <w:proofErr w:type="spellEnd"/>
              <w:proofErr w:type="gramEnd"/>
              <w:r w:rsidRPr="0048424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pt-BR"/>
                </w:rPr>
                <w:t>.2016.1113.21</w:t>
              </w:r>
            </w:hyperlink>
          </w:p>
        </w:tc>
      </w:tr>
      <w:tr w:rsidR="00484246" w:rsidRPr="00484246" w:rsidTr="0048424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84246" w:rsidRPr="00484246" w:rsidRDefault="00484246" w:rsidP="00484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4842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pt-BR"/>
              </w:rPr>
              <w:t>Abstract: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br/>
              <w:t>Although the success of strawberry genetic transformation by </w:t>
            </w:r>
            <w:proofErr w:type="spellStart"/>
            <w:r w:rsidRPr="0048424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pt-BR"/>
              </w:rPr>
              <w:t>Agrobacterium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 has been reported, this is greatly influenced by genotype and dependent of an efficient method to select and regenerate the transformed plants. The selection of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transformants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by the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aminoglycoside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antibiotic resistance, conferred by the </w:t>
            </w:r>
            <w:r w:rsidRPr="0048424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pt-BR"/>
              </w:rPr>
              <w:t>NPTII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 gene, has caused problems such as “escapes” from shoot regeneration, at low concentrations, or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phytotoxicity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and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chimeric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shoots, at high concentrations. However, for strawberry transformation, the main form of selection is via the </w:t>
            </w:r>
            <w:r w:rsidRPr="0048424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pt-BR"/>
              </w:rPr>
              <w:t>NPTII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 gene, mainly using the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kanamycin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antibiotic. Thereby, the aim of this study was to test different concentrations of the antibiotic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kanamycin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added to the regeneration medium of leaf explants from strawberry 'Festival', to establish the lowest effective dose capable of inhibiting regeneration of “escape” plants. Leaf explants (1 cm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pt-BR"/>
              </w:rPr>
              <w:t>2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) were obtained from in vitro plants, grown from seeds, of the strawberry 'Festival' and placed in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petri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dishes containing regeneration medium. The regeneration medium consisted of MS basal medium + TDZ at 2.5 mg L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pt-BR"/>
              </w:rPr>
              <w:t>-1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+ IBA at 0.1 mg L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pt-BR"/>
              </w:rPr>
              <w:t>-1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 with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kanamycin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at 0, 2, 4, 6, 8 and 10 mg L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pt-BR"/>
              </w:rPr>
              <w:t>-1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. The plates were incubated in a growth chamber with a 16-h photoperiod and temperature of 25±2°C. The experiment was conducted in a completely randomized design with 6 treatments consisting of 5 replicates (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petri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dishes). After 45 days, callus presence, bud and shoots number were assessed. </w:t>
            </w:r>
            <w:proofErr w:type="spellStart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Kanamycin</w:t>
            </w:r>
            <w:proofErr w:type="spellEnd"/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at 6 mg L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pt-BR"/>
              </w:rPr>
              <w:t>-1</w:t>
            </w:r>
            <w:r w:rsidRPr="00484246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completely inhibited the capacity of shoot regeneration, without callus formation, buds or shoots regeneration on the explants.</w:t>
            </w:r>
          </w:p>
        </w:tc>
      </w:tr>
    </w:tbl>
    <w:p w:rsidR="00775494" w:rsidRPr="00484246" w:rsidRDefault="00775494">
      <w:pPr>
        <w:rPr>
          <w:lang w:val="en-US"/>
        </w:rPr>
      </w:pPr>
    </w:p>
    <w:sectPr w:rsidR="00775494" w:rsidRPr="00484246" w:rsidSect="00775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84246"/>
    <w:rsid w:val="00484246"/>
    <w:rsid w:val="0077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94"/>
  </w:style>
  <w:style w:type="paragraph" w:styleId="Ttulo2">
    <w:name w:val="heading 2"/>
    <w:basedOn w:val="Normal"/>
    <w:link w:val="Ttulo2Char"/>
    <w:uiPriority w:val="9"/>
    <w:qFormat/>
    <w:rsid w:val="00484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842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84246"/>
  </w:style>
  <w:style w:type="character" w:styleId="Hyperlink">
    <w:name w:val="Hyperlink"/>
    <w:basedOn w:val="Fontepargpadro"/>
    <w:uiPriority w:val="99"/>
    <w:semiHidden/>
    <w:unhideWhenUsed/>
    <w:rsid w:val="00484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7660/ActaHortic.2016.1113.2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OP0447-00032</dc:creator>
  <cp:lastModifiedBy>OP0447-00032</cp:lastModifiedBy>
  <cp:revision>1</cp:revision>
  <dcterms:created xsi:type="dcterms:W3CDTF">2016-04-11T12:30:00Z</dcterms:created>
  <dcterms:modified xsi:type="dcterms:W3CDTF">2016-04-11T12:33:00Z</dcterms:modified>
</cp:coreProperties>
</file>